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NewRoman" w:hAnsi="TimesNewRoman" w:eastAsia="黑体" w:cs="TimesNewRoman"/>
          <w:szCs w:val="32"/>
        </w:rPr>
      </w:pPr>
      <w:r>
        <w:rPr>
          <w:rFonts w:hint="eastAsia" w:ascii="TimesNewRoman" w:hAnsi="TimesNewRoman" w:eastAsia="黑体" w:cs="TimesNewRoman"/>
          <w:szCs w:val="32"/>
        </w:rPr>
        <w:t>附件1-1</w:t>
      </w:r>
    </w:p>
    <w:p/>
    <w:p/>
    <w:p/>
    <w:p/>
    <w:p/>
    <w:p/>
    <w:p/>
    <w:p/>
    <w:p>
      <w:pPr>
        <w:spacing w:line="560" w:lineRule="exact"/>
        <w:jc w:val="center"/>
        <w:rPr>
          <w:rFonts w:hint="eastAsia" w:ascii="TimesNewRoman" w:hAnsi="TimesNewRoman" w:eastAsia="华文中宋" w:cs="TimesNewRoman"/>
          <w:b/>
          <w:sz w:val="44"/>
          <w:szCs w:val="44"/>
          <w:lang w:val="en-US" w:eastAsia="zh-CN"/>
        </w:rPr>
      </w:pPr>
      <w:r>
        <w:rPr>
          <w:rFonts w:hint="eastAsia" w:ascii="TimesNewRoman" w:hAnsi="TimesNewRoman" w:eastAsia="华文中宋" w:cs="TimesNewRoman"/>
          <w:b/>
          <w:sz w:val="44"/>
          <w:szCs w:val="44"/>
        </w:rPr>
        <w:t>淮北市</w:t>
      </w:r>
      <w:r>
        <w:rPr>
          <w:rFonts w:hint="eastAsia" w:ascii="TimesNewRoman" w:hAnsi="TimesNewRoman" w:eastAsia="华文中宋" w:cs="TimesNewRoman"/>
          <w:b/>
          <w:sz w:val="44"/>
          <w:szCs w:val="44"/>
          <w:lang w:val="en-US" w:eastAsia="zh-CN"/>
        </w:rPr>
        <w:t>住房公积金管理中心</w:t>
      </w:r>
    </w:p>
    <w:p>
      <w:pPr>
        <w:spacing w:line="560" w:lineRule="exact"/>
        <w:jc w:val="center"/>
        <w:rPr>
          <w:rFonts w:ascii="TimesNewRoman" w:hAnsi="TimesNewRoman" w:eastAsia="华文中宋" w:cs="TimesNewRoman"/>
          <w:b/>
          <w:sz w:val="44"/>
          <w:szCs w:val="44"/>
        </w:rPr>
      </w:pPr>
      <w:r>
        <w:rPr>
          <w:rFonts w:hint="eastAsia" w:ascii="TimesNewRoman" w:hAnsi="TimesNewRoman" w:eastAsia="华文中宋" w:cs="TimesNewRoman"/>
          <w:b/>
          <w:sz w:val="44"/>
          <w:szCs w:val="44"/>
        </w:rPr>
        <w:t>2024年部门预算</w:t>
      </w:r>
    </w:p>
    <w:p/>
    <w:p/>
    <w:p/>
    <w:p/>
    <w:p/>
    <w:p/>
    <w:p/>
    <w:p/>
    <w:p/>
    <w:p/>
    <w:p/>
    <w:p/>
    <w:p/>
    <w:p/>
    <w:p/>
    <w:p/>
    <w:p/>
    <w:p/>
    <w:p/>
    <w:p/>
    <w:p/>
    <w:p/>
    <w:p>
      <w:pPr>
        <w:pStyle w:val="5"/>
        <w:adjustRightInd w:val="0"/>
        <w:snapToGrid w:val="0"/>
        <w:spacing w:line="560" w:lineRule="exact"/>
        <w:jc w:val="center"/>
        <w:rPr>
          <w:rFonts w:ascii="TimesNewRoman" w:hAnsi="TimesNewRoman" w:eastAsia="黑体" w:cs="TimesNewRoman"/>
          <w:bCs/>
          <w:sz w:val="44"/>
          <w:szCs w:val="44"/>
        </w:rPr>
      </w:pPr>
    </w:p>
    <w:p>
      <w:pPr>
        <w:pStyle w:val="5"/>
        <w:adjustRightInd w:val="0"/>
        <w:snapToGrid w:val="0"/>
        <w:spacing w:line="560" w:lineRule="exact"/>
        <w:jc w:val="center"/>
        <w:rPr>
          <w:rFonts w:ascii="TimesNewRoman" w:hAnsi="TimesNewRoman" w:eastAsia="黑体" w:cs="TimesNewRoman"/>
          <w:bCs/>
          <w:sz w:val="44"/>
          <w:szCs w:val="44"/>
        </w:rPr>
      </w:pPr>
      <w:r>
        <w:rPr>
          <w:rFonts w:hint="eastAsia" w:ascii="TimesNewRoman" w:hAnsi="TimesNewRoman" w:eastAsia="黑体" w:cs="TimesNewRoman"/>
          <w:bCs/>
          <w:sz w:val="44"/>
          <w:szCs w:val="44"/>
        </w:rPr>
        <w:t>2024年</w:t>
      </w:r>
      <w:r>
        <w:rPr>
          <w:rFonts w:hint="default" w:ascii="TimesNewRoman" w:hAnsi="TimesNewRoman" w:eastAsia="黑体" w:cs="TimesNewRoman"/>
          <w:bCs/>
          <w:sz w:val="44"/>
          <w:szCs w:val="44"/>
          <w:lang w:val="en-US"/>
        </w:rPr>
        <w:t>2</w:t>
      </w:r>
      <w:r>
        <w:rPr>
          <w:rFonts w:hint="eastAsia" w:ascii="TimesNewRoman" w:hAnsi="TimesNewRoman" w:eastAsia="黑体" w:cs="TimesNewRoman"/>
          <w:bCs/>
          <w:sz w:val="44"/>
          <w:szCs w:val="44"/>
        </w:rPr>
        <w:t>月</w:t>
      </w:r>
    </w:p>
    <w:p/>
    <w:p/>
    <w:p>
      <w:pPr>
        <w:pStyle w:val="5"/>
        <w:adjustRightInd w:val="0"/>
        <w:snapToGrid w:val="0"/>
        <w:spacing w:line="560" w:lineRule="exact"/>
        <w:jc w:val="center"/>
        <w:rPr>
          <w:rFonts w:ascii="TimesNewRoman" w:hAnsi="TimesNewRoman" w:eastAsia="黑体" w:cs="TimesNewRoman"/>
          <w:bCs/>
          <w:sz w:val="44"/>
          <w:szCs w:val="44"/>
        </w:rPr>
      </w:pPr>
      <w:r>
        <w:rPr>
          <w:rFonts w:hint="eastAsia" w:ascii="TimesNewRoman" w:hAnsi="TimesNewRoman" w:eastAsia="黑体" w:cs="TimesNewRoman"/>
          <w:bCs/>
          <w:sz w:val="44"/>
          <w:szCs w:val="44"/>
        </w:rPr>
        <w:t>目  录</w:t>
      </w:r>
    </w:p>
    <w:p/>
    <w:p>
      <w:pPr>
        <w:pStyle w:val="5"/>
        <w:adjustRightInd w:val="0"/>
        <w:snapToGrid w:val="0"/>
        <w:spacing w:line="400" w:lineRule="exact"/>
        <w:ind w:firstLine="643" w:firstLineChars="200"/>
        <w:rPr>
          <w:rFonts w:ascii="TimesNewRoman" w:hAnsi="TimesNewRoman" w:eastAsia="仿宋_GB2312" w:cs="TimesNewRoman"/>
          <w:b/>
          <w:sz w:val="32"/>
          <w:szCs w:val="32"/>
        </w:rPr>
      </w:pPr>
      <w:r>
        <w:rPr>
          <w:rFonts w:hint="eastAsia" w:ascii="TimesNewRoman" w:hAnsi="TimesNewRoman" w:eastAsia="仿宋_GB2312" w:cs="TimesNewRoman"/>
          <w:b/>
          <w:sz w:val="32"/>
          <w:szCs w:val="32"/>
        </w:rPr>
        <w:t>第一部分 部门概况</w:t>
      </w:r>
    </w:p>
    <w:p>
      <w:pPr>
        <w:pStyle w:val="5"/>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1、主要职责</w:t>
      </w:r>
    </w:p>
    <w:p>
      <w:pPr>
        <w:pStyle w:val="5"/>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2、部门预算构成</w:t>
      </w:r>
    </w:p>
    <w:p>
      <w:pPr>
        <w:pStyle w:val="5"/>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3 、2024年度主要工作任务</w:t>
      </w:r>
    </w:p>
    <w:p>
      <w:pPr>
        <w:pStyle w:val="5"/>
        <w:adjustRightInd w:val="0"/>
        <w:snapToGrid w:val="0"/>
        <w:spacing w:line="400" w:lineRule="exact"/>
        <w:ind w:firstLine="643" w:firstLineChars="200"/>
        <w:rPr>
          <w:rFonts w:ascii="TimesNewRoman" w:hAnsi="TimesNewRoman" w:eastAsia="仿宋_GB2312" w:cs="TimesNewRoman"/>
          <w:b/>
          <w:sz w:val="32"/>
          <w:szCs w:val="32"/>
        </w:rPr>
      </w:pPr>
      <w:r>
        <w:rPr>
          <w:rFonts w:hint="eastAsia" w:ascii="TimesNewRoman" w:hAnsi="TimesNewRoman" w:eastAsia="仿宋_GB2312" w:cs="TimesNewRoman"/>
          <w:b/>
          <w:sz w:val="32"/>
          <w:szCs w:val="32"/>
        </w:rPr>
        <w:t>第二部分 2024年部门预算表</w:t>
      </w:r>
    </w:p>
    <w:p>
      <w:pPr>
        <w:pStyle w:val="5"/>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1、淮北市</w:t>
      </w:r>
      <w:r>
        <w:rPr>
          <w:rFonts w:hint="eastAsia" w:ascii="TimesNewRoman" w:hAnsi="TimesNewRoman" w:eastAsia="仿宋_GB2312" w:cs="TimesNewRoman"/>
          <w:bCs/>
          <w:sz w:val="32"/>
          <w:szCs w:val="32"/>
          <w:lang w:val="en-US" w:eastAsia="zh-CN"/>
        </w:rPr>
        <w:t>住房公积金管理中心</w:t>
      </w:r>
      <w:r>
        <w:rPr>
          <w:rFonts w:hint="eastAsia" w:ascii="TimesNewRoman" w:hAnsi="TimesNewRoman" w:eastAsia="仿宋_GB2312" w:cs="TimesNewRoman"/>
          <w:bCs/>
          <w:sz w:val="32"/>
          <w:szCs w:val="32"/>
        </w:rPr>
        <w:t>2024年收支总表</w:t>
      </w:r>
    </w:p>
    <w:p>
      <w:pPr>
        <w:pStyle w:val="5"/>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2、淮北市</w:t>
      </w:r>
      <w:r>
        <w:rPr>
          <w:rFonts w:hint="eastAsia" w:ascii="TimesNewRoman" w:hAnsi="TimesNewRoman" w:eastAsia="仿宋_GB2312" w:cs="TimesNewRoman"/>
          <w:bCs/>
          <w:sz w:val="32"/>
          <w:szCs w:val="32"/>
          <w:lang w:val="en-US" w:eastAsia="zh-CN"/>
        </w:rPr>
        <w:t>住房公积金管理中心</w:t>
      </w:r>
      <w:r>
        <w:rPr>
          <w:rFonts w:hint="eastAsia" w:ascii="TimesNewRoman" w:hAnsi="TimesNewRoman" w:eastAsia="仿宋_GB2312" w:cs="TimesNewRoman"/>
          <w:bCs/>
          <w:sz w:val="32"/>
          <w:szCs w:val="32"/>
        </w:rPr>
        <w:t>2024年收入总表</w:t>
      </w:r>
    </w:p>
    <w:p>
      <w:pPr>
        <w:pStyle w:val="5"/>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3、淮北市</w:t>
      </w:r>
      <w:r>
        <w:rPr>
          <w:rFonts w:hint="eastAsia" w:ascii="TimesNewRoman" w:hAnsi="TimesNewRoman" w:eastAsia="仿宋_GB2312" w:cs="TimesNewRoman"/>
          <w:bCs/>
          <w:sz w:val="32"/>
          <w:szCs w:val="32"/>
          <w:lang w:val="en-US" w:eastAsia="zh-CN"/>
        </w:rPr>
        <w:t>住房公积金管理中心</w:t>
      </w:r>
      <w:r>
        <w:rPr>
          <w:rFonts w:hint="eastAsia" w:ascii="TimesNewRoman" w:hAnsi="TimesNewRoman" w:eastAsia="仿宋_GB2312" w:cs="TimesNewRoman"/>
          <w:bCs/>
          <w:sz w:val="32"/>
          <w:szCs w:val="32"/>
        </w:rPr>
        <w:t>2024年支出总表</w:t>
      </w:r>
    </w:p>
    <w:p>
      <w:pPr>
        <w:pStyle w:val="5"/>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4、淮北市</w:t>
      </w:r>
      <w:r>
        <w:rPr>
          <w:rFonts w:hint="eastAsia" w:ascii="TimesNewRoman" w:hAnsi="TimesNewRoman" w:eastAsia="仿宋_GB2312" w:cs="TimesNewRoman"/>
          <w:bCs/>
          <w:sz w:val="32"/>
          <w:szCs w:val="32"/>
          <w:lang w:val="en-US" w:eastAsia="zh-CN"/>
        </w:rPr>
        <w:t>住房公积金管理中心</w:t>
      </w:r>
      <w:r>
        <w:rPr>
          <w:rFonts w:hint="eastAsia" w:ascii="TimesNewRoman" w:hAnsi="TimesNewRoman" w:eastAsia="仿宋_GB2312" w:cs="TimesNewRoman"/>
          <w:bCs/>
          <w:sz w:val="32"/>
          <w:szCs w:val="32"/>
        </w:rPr>
        <w:t>2024年财政拨款收支总表</w:t>
      </w:r>
    </w:p>
    <w:p>
      <w:pPr>
        <w:pStyle w:val="5"/>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5、淮北市</w:t>
      </w:r>
      <w:r>
        <w:rPr>
          <w:rFonts w:hint="eastAsia" w:ascii="TimesNewRoman" w:hAnsi="TimesNewRoman" w:eastAsia="仿宋_GB2312" w:cs="TimesNewRoman"/>
          <w:bCs/>
          <w:sz w:val="32"/>
          <w:szCs w:val="32"/>
          <w:lang w:val="en-US" w:eastAsia="zh-CN"/>
        </w:rPr>
        <w:t>住房公积金管理中心</w:t>
      </w:r>
      <w:r>
        <w:rPr>
          <w:rFonts w:hint="eastAsia" w:ascii="TimesNewRoman" w:hAnsi="TimesNewRoman" w:eastAsia="仿宋_GB2312" w:cs="TimesNewRoman"/>
          <w:bCs/>
          <w:sz w:val="32"/>
          <w:szCs w:val="32"/>
        </w:rPr>
        <w:t>2024年一般公共预算支出表</w:t>
      </w:r>
    </w:p>
    <w:p>
      <w:pPr>
        <w:pStyle w:val="5"/>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6、淮北市</w:t>
      </w:r>
      <w:r>
        <w:rPr>
          <w:rFonts w:hint="eastAsia" w:ascii="TimesNewRoman" w:hAnsi="TimesNewRoman" w:eastAsia="仿宋_GB2312" w:cs="TimesNewRoman"/>
          <w:bCs/>
          <w:sz w:val="32"/>
          <w:szCs w:val="32"/>
          <w:lang w:val="en-US" w:eastAsia="zh-CN"/>
        </w:rPr>
        <w:t>住房公积金管理中心</w:t>
      </w:r>
      <w:r>
        <w:rPr>
          <w:rFonts w:hint="eastAsia" w:ascii="TimesNewRoman" w:hAnsi="TimesNewRoman" w:eastAsia="仿宋_GB2312" w:cs="TimesNewRoman"/>
          <w:bCs/>
          <w:sz w:val="32"/>
          <w:szCs w:val="32"/>
        </w:rPr>
        <w:t>2024年一般公共预算基本支出表</w:t>
      </w:r>
    </w:p>
    <w:p>
      <w:pPr>
        <w:pStyle w:val="5"/>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7、淮北市</w:t>
      </w:r>
      <w:r>
        <w:rPr>
          <w:rFonts w:hint="eastAsia" w:ascii="TimesNewRoman" w:hAnsi="TimesNewRoman" w:eastAsia="仿宋_GB2312" w:cs="TimesNewRoman"/>
          <w:bCs/>
          <w:sz w:val="32"/>
          <w:szCs w:val="32"/>
          <w:lang w:val="en-US" w:eastAsia="zh-CN"/>
        </w:rPr>
        <w:t>住房公积金管理中心</w:t>
      </w:r>
      <w:r>
        <w:rPr>
          <w:rFonts w:hint="eastAsia" w:ascii="TimesNewRoman" w:hAnsi="TimesNewRoman" w:eastAsia="仿宋_GB2312" w:cs="TimesNewRoman"/>
          <w:bCs/>
          <w:sz w:val="32"/>
          <w:szCs w:val="32"/>
        </w:rPr>
        <w:t>2024年政府性基金预算支出表</w:t>
      </w:r>
    </w:p>
    <w:p>
      <w:pPr>
        <w:pStyle w:val="5"/>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8、淮北市</w:t>
      </w:r>
      <w:r>
        <w:rPr>
          <w:rFonts w:hint="eastAsia" w:ascii="TimesNewRoman" w:hAnsi="TimesNewRoman" w:eastAsia="仿宋_GB2312" w:cs="TimesNewRoman"/>
          <w:bCs/>
          <w:sz w:val="32"/>
          <w:szCs w:val="32"/>
          <w:lang w:val="en-US" w:eastAsia="zh-CN"/>
        </w:rPr>
        <w:t>住房公积金管理中心</w:t>
      </w:r>
      <w:r>
        <w:rPr>
          <w:rFonts w:hint="eastAsia" w:ascii="TimesNewRoman" w:hAnsi="TimesNewRoman" w:eastAsia="仿宋_GB2312" w:cs="TimesNewRoman"/>
          <w:bCs/>
          <w:sz w:val="32"/>
          <w:szCs w:val="32"/>
        </w:rPr>
        <w:t>2024年国有资本经营预算支出表</w:t>
      </w:r>
    </w:p>
    <w:p>
      <w:pPr>
        <w:pStyle w:val="5"/>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9、淮北市</w:t>
      </w:r>
      <w:r>
        <w:rPr>
          <w:rFonts w:hint="eastAsia" w:ascii="TimesNewRoman" w:hAnsi="TimesNewRoman" w:eastAsia="仿宋_GB2312" w:cs="TimesNewRoman"/>
          <w:bCs/>
          <w:sz w:val="32"/>
          <w:szCs w:val="32"/>
          <w:lang w:val="en-US" w:eastAsia="zh-CN"/>
        </w:rPr>
        <w:t>住房公积金管理中心</w:t>
      </w:r>
      <w:r>
        <w:rPr>
          <w:rFonts w:hint="eastAsia" w:ascii="TimesNewRoman" w:hAnsi="TimesNewRoman" w:eastAsia="仿宋_GB2312" w:cs="TimesNewRoman"/>
          <w:bCs/>
          <w:sz w:val="32"/>
          <w:szCs w:val="32"/>
        </w:rPr>
        <w:t>2024年项目支出表</w:t>
      </w:r>
    </w:p>
    <w:p>
      <w:pPr>
        <w:pStyle w:val="5"/>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10、淮北市</w:t>
      </w:r>
      <w:r>
        <w:rPr>
          <w:rFonts w:hint="eastAsia" w:ascii="TimesNewRoman" w:hAnsi="TimesNewRoman" w:eastAsia="仿宋_GB2312" w:cs="TimesNewRoman"/>
          <w:bCs/>
          <w:sz w:val="32"/>
          <w:szCs w:val="32"/>
          <w:lang w:val="en-US" w:eastAsia="zh-CN"/>
        </w:rPr>
        <w:t>住房公积金管理中心</w:t>
      </w:r>
      <w:r>
        <w:rPr>
          <w:rFonts w:hint="eastAsia" w:ascii="TimesNewRoman" w:hAnsi="TimesNewRoman" w:eastAsia="仿宋_GB2312" w:cs="TimesNewRoman"/>
          <w:bCs/>
          <w:sz w:val="32"/>
          <w:szCs w:val="32"/>
        </w:rPr>
        <w:t>2024年政府采购支出表</w:t>
      </w:r>
    </w:p>
    <w:p>
      <w:pPr>
        <w:pStyle w:val="5"/>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11、淮北市</w:t>
      </w:r>
      <w:r>
        <w:rPr>
          <w:rFonts w:hint="eastAsia" w:ascii="TimesNewRoman" w:hAnsi="TimesNewRoman" w:eastAsia="仿宋_GB2312" w:cs="TimesNewRoman"/>
          <w:bCs/>
          <w:sz w:val="32"/>
          <w:szCs w:val="32"/>
          <w:lang w:val="en-US" w:eastAsia="zh-CN"/>
        </w:rPr>
        <w:t>住房公积金管理中心</w:t>
      </w:r>
      <w:r>
        <w:rPr>
          <w:rFonts w:hint="eastAsia" w:ascii="TimesNewRoman" w:hAnsi="TimesNewRoman" w:eastAsia="仿宋_GB2312" w:cs="TimesNewRoman"/>
          <w:bCs/>
          <w:sz w:val="32"/>
          <w:szCs w:val="32"/>
        </w:rPr>
        <w:t>2024年政府购买服务支出表</w:t>
      </w:r>
    </w:p>
    <w:p>
      <w:pPr>
        <w:pStyle w:val="5"/>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12、淮北市</w:t>
      </w:r>
      <w:r>
        <w:rPr>
          <w:rFonts w:hint="eastAsia" w:ascii="TimesNewRoman" w:hAnsi="TimesNewRoman" w:eastAsia="仿宋_GB2312" w:cs="TimesNewRoman"/>
          <w:bCs/>
          <w:sz w:val="32"/>
          <w:szCs w:val="32"/>
          <w:lang w:val="en-US" w:eastAsia="zh-CN"/>
        </w:rPr>
        <w:t>住房公积金管理中心</w:t>
      </w:r>
      <w:r>
        <w:rPr>
          <w:rFonts w:ascii="TimesNewRoman" w:hAnsi="TimesNewRoman" w:eastAsia="仿宋_GB2312" w:cs="TimesNewRoman"/>
          <w:bCs/>
          <w:sz w:val="32"/>
          <w:szCs w:val="32"/>
        </w:rPr>
        <w:t>2024年通用资产配置支出表</w:t>
      </w:r>
    </w:p>
    <w:p>
      <w:pPr>
        <w:pStyle w:val="5"/>
        <w:adjustRightInd w:val="0"/>
        <w:snapToGrid w:val="0"/>
        <w:spacing w:line="400" w:lineRule="exact"/>
        <w:ind w:firstLine="643" w:firstLineChars="200"/>
        <w:rPr>
          <w:rFonts w:ascii="TimesNewRoman" w:hAnsi="TimesNewRoman" w:eastAsia="仿宋_GB2312" w:cs="TimesNewRoman"/>
          <w:b/>
          <w:sz w:val="32"/>
          <w:szCs w:val="32"/>
        </w:rPr>
      </w:pPr>
      <w:r>
        <w:rPr>
          <w:rFonts w:hint="eastAsia" w:ascii="TimesNewRoman" w:hAnsi="TimesNewRoman" w:eastAsia="仿宋_GB2312" w:cs="TimesNewRoman"/>
          <w:b/>
          <w:sz w:val="32"/>
          <w:szCs w:val="32"/>
        </w:rPr>
        <w:t>第三部分 2024年部门预算情况说明</w:t>
      </w:r>
    </w:p>
    <w:p>
      <w:pPr>
        <w:pStyle w:val="5"/>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1、关于2024年收支总表的说明</w:t>
      </w:r>
    </w:p>
    <w:p>
      <w:pPr>
        <w:pStyle w:val="5"/>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2、关于2024年收入总表的说明</w:t>
      </w:r>
    </w:p>
    <w:p>
      <w:pPr>
        <w:pStyle w:val="5"/>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3、关于2024年支出总表的说明</w:t>
      </w:r>
    </w:p>
    <w:p>
      <w:pPr>
        <w:pStyle w:val="5"/>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4、关于2024年财政拨款收支总表的说明</w:t>
      </w:r>
    </w:p>
    <w:p>
      <w:pPr>
        <w:pStyle w:val="5"/>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5、关于2024年一般公共预算支出表的说明</w:t>
      </w:r>
    </w:p>
    <w:p>
      <w:pPr>
        <w:pStyle w:val="5"/>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6、关于2024年一般公共预算基本支出表的说明</w:t>
      </w:r>
    </w:p>
    <w:p>
      <w:pPr>
        <w:pStyle w:val="5"/>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7、关于2024年政府性基金预算支出表的说明</w:t>
      </w:r>
    </w:p>
    <w:p>
      <w:pPr>
        <w:pStyle w:val="5"/>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8、关于2024年国有资本经营预算支出表的说明</w:t>
      </w:r>
    </w:p>
    <w:p>
      <w:pPr>
        <w:pStyle w:val="5"/>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9、关于2024年项目支出表的说明</w:t>
      </w:r>
    </w:p>
    <w:p>
      <w:pPr>
        <w:pStyle w:val="5"/>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10、关于2024年政府采购支出表的说明</w:t>
      </w:r>
    </w:p>
    <w:p>
      <w:pPr>
        <w:pStyle w:val="5"/>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11、关于2024年政府购买服务支出表的说明</w:t>
      </w:r>
    </w:p>
    <w:p>
      <w:pPr>
        <w:pStyle w:val="5"/>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12、其他重要事项情况说明</w:t>
      </w:r>
    </w:p>
    <w:p>
      <w:pPr>
        <w:pStyle w:val="5"/>
        <w:adjustRightInd w:val="0"/>
        <w:snapToGrid w:val="0"/>
        <w:spacing w:line="400" w:lineRule="exact"/>
        <w:ind w:firstLine="643" w:firstLineChars="200"/>
        <w:rPr>
          <w:rFonts w:ascii="TimesNewRoman" w:hAnsi="TimesNewRoman" w:eastAsia="仿宋_GB2312" w:cs="TimesNewRoman"/>
          <w:b/>
          <w:sz w:val="32"/>
          <w:szCs w:val="32"/>
        </w:rPr>
      </w:pPr>
      <w:r>
        <w:rPr>
          <w:rFonts w:hint="eastAsia" w:ascii="TimesNewRoman" w:hAnsi="TimesNewRoman" w:eastAsia="仿宋_GB2312" w:cs="TimesNewRoman"/>
          <w:b/>
          <w:sz w:val="32"/>
          <w:szCs w:val="32"/>
        </w:rPr>
        <w:t>第四部分 名词解释</w:t>
      </w:r>
    </w:p>
    <w:p>
      <w:pPr>
        <w:pStyle w:val="5"/>
        <w:adjustRightInd w:val="0"/>
        <w:snapToGrid w:val="0"/>
        <w:spacing w:line="400" w:lineRule="exact"/>
        <w:ind w:firstLine="643" w:firstLineChars="200"/>
        <w:rPr>
          <w:rFonts w:ascii="TimesNewRoman" w:hAnsi="TimesNewRoman" w:eastAsia="仿宋_GB2312" w:cs="TimesNewRoman"/>
          <w:b/>
          <w:sz w:val="32"/>
          <w:szCs w:val="32"/>
        </w:rPr>
      </w:pPr>
      <w:r>
        <w:rPr>
          <w:rFonts w:hint="eastAsia" w:ascii="TimesNewRoman" w:hAnsi="TimesNewRoman" w:eastAsia="仿宋_GB2312" w:cs="TimesNewRoman"/>
          <w:b/>
          <w:sz w:val="32"/>
          <w:szCs w:val="32"/>
        </w:rPr>
        <w:t>第五部分 其它公开事项</w:t>
      </w:r>
    </w:p>
    <w:p>
      <w:pPr>
        <w:pStyle w:val="5"/>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1、淮北市</w:t>
      </w:r>
      <w:r>
        <w:rPr>
          <w:rFonts w:hint="eastAsia" w:ascii="TimesNewRoman" w:hAnsi="TimesNewRoman" w:eastAsia="仿宋_GB2312" w:cs="TimesNewRoman"/>
          <w:bCs/>
          <w:sz w:val="32"/>
          <w:szCs w:val="32"/>
          <w:lang w:val="en-US" w:eastAsia="zh-CN"/>
        </w:rPr>
        <w:t>住房公积金管理中心</w:t>
      </w:r>
      <w:r>
        <w:rPr>
          <w:rFonts w:hint="eastAsia" w:ascii="TimesNewRoman" w:hAnsi="TimesNewRoman" w:eastAsia="仿宋_GB2312" w:cs="TimesNewRoman"/>
          <w:bCs/>
          <w:sz w:val="32"/>
          <w:szCs w:val="32"/>
        </w:rPr>
        <w:t>2024年部门预算纳入绩效考评项目表</w:t>
      </w:r>
    </w:p>
    <w:p>
      <w:pPr>
        <w:pStyle w:val="5"/>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2、淮北市</w:t>
      </w:r>
      <w:r>
        <w:rPr>
          <w:rFonts w:hint="eastAsia" w:ascii="TimesNewRoman" w:hAnsi="TimesNewRoman" w:eastAsia="仿宋_GB2312" w:cs="TimesNewRoman"/>
          <w:bCs/>
          <w:sz w:val="32"/>
          <w:szCs w:val="32"/>
          <w:lang w:val="en-US" w:eastAsia="zh-CN"/>
        </w:rPr>
        <w:t>住房公积金管理中心</w:t>
      </w:r>
      <w:r>
        <w:rPr>
          <w:rFonts w:hint="eastAsia" w:ascii="TimesNewRoman" w:hAnsi="TimesNewRoman" w:eastAsia="仿宋_GB2312" w:cs="TimesNewRoman"/>
          <w:bCs/>
          <w:sz w:val="32"/>
          <w:szCs w:val="32"/>
        </w:rPr>
        <w:t>2024年部门预算专项资金管理清单（专栏公开）</w:t>
      </w:r>
    </w:p>
    <w:p>
      <w:pPr>
        <w:pStyle w:val="5"/>
        <w:adjustRightInd w:val="0"/>
        <w:snapToGrid w:val="0"/>
        <w:spacing w:line="400" w:lineRule="exact"/>
        <w:ind w:firstLine="800" w:firstLineChars="250"/>
        <w:rPr>
          <w:rFonts w:ascii="TimesNewRoman" w:hAnsi="TimesNewRoman" w:eastAsia="仿宋_GB2312" w:cs="TimesNewRoman"/>
          <w:bCs/>
          <w:sz w:val="32"/>
          <w:szCs w:val="32"/>
        </w:rPr>
      </w:pPr>
    </w:p>
    <w:p>
      <w:pPr>
        <w:pStyle w:val="5"/>
        <w:adjustRightInd w:val="0"/>
        <w:snapToGrid w:val="0"/>
        <w:spacing w:line="560" w:lineRule="exact"/>
        <w:jc w:val="center"/>
        <w:rPr>
          <w:rFonts w:ascii="TimesNewRoman" w:hAnsi="TimesNewRoman" w:eastAsia="黑体" w:cs="TimesNewRoman"/>
          <w:bCs/>
          <w:sz w:val="36"/>
          <w:szCs w:val="36"/>
        </w:rPr>
      </w:pPr>
      <w:r>
        <w:rPr>
          <w:rFonts w:hint="eastAsia" w:ascii="TimesNewRoman" w:hAnsi="TimesNewRoman" w:eastAsia="黑体" w:cs="TimesNewRoman"/>
          <w:bCs/>
          <w:sz w:val="36"/>
          <w:szCs w:val="36"/>
        </w:rPr>
        <w:t>第一部分 部门概况</w:t>
      </w:r>
    </w:p>
    <w:p/>
    <w:p>
      <w:pPr>
        <w:pStyle w:val="5"/>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一、主要职责</w:t>
      </w:r>
    </w:p>
    <w:p>
      <w:pPr>
        <w:pStyle w:val="5"/>
        <w:adjustRightInd w:val="0"/>
        <w:snapToGrid w:val="0"/>
        <w:spacing w:line="560" w:lineRule="exact"/>
        <w:ind w:firstLine="627" w:firstLineChars="196"/>
        <w:rPr>
          <w:rFonts w:ascii="TimesNewRoman" w:hAnsi="TimesNewRoman" w:eastAsia="仿宋_GB2312" w:cs="TimesNewRoman"/>
          <w:bCs/>
          <w:sz w:val="32"/>
          <w:szCs w:val="32"/>
        </w:rPr>
      </w:pPr>
      <w:r>
        <w:rPr>
          <w:rFonts w:hint="eastAsia" w:ascii="TimesNewRoman" w:hAnsi="TimesNewRoman" w:eastAsia="仿宋_GB2312" w:cs="TimesNewRoman"/>
          <w:bCs/>
          <w:sz w:val="32"/>
          <w:szCs w:val="32"/>
        </w:rPr>
        <w:t>（一）</w:t>
      </w:r>
      <w:r>
        <w:rPr>
          <w:rFonts w:hint="eastAsia" w:ascii="TimesNewRoman" w:hAnsi="TimesNewRoman" w:eastAsia="仿宋_GB2312" w:cs="TimesNewRoman"/>
          <w:kern w:val="0"/>
          <w:sz w:val="32"/>
          <w:szCs w:val="32"/>
          <w:lang w:val="en-US" w:eastAsia="zh-CN" w:bidi="ar-SA"/>
        </w:rPr>
        <w:t>履行国务院《住房公积金管理条例》赋于的职责，执行住房公积金管理委员会的决策；</w:t>
      </w:r>
    </w:p>
    <w:p>
      <w:pPr>
        <w:pStyle w:val="5"/>
        <w:adjustRightInd w:val="0"/>
        <w:snapToGrid w:val="0"/>
        <w:spacing w:line="560" w:lineRule="exact"/>
        <w:ind w:firstLine="627" w:firstLineChars="196"/>
        <w:rPr>
          <w:rFonts w:hint="eastAsia" w:ascii="TimesNewRoman" w:hAnsi="TimesNewRoman" w:eastAsia="仿宋_GB2312" w:cs="TimesNewRoman"/>
          <w:kern w:val="0"/>
          <w:sz w:val="32"/>
          <w:szCs w:val="32"/>
          <w:lang w:val="en-US" w:eastAsia="zh-CN" w:bidi="ar-SA"/>
        </w:rPr>
      </w:pPr>
      <w:r>
        <w:rPr>
          <w:rFonts w:hint="eastAsia" w:ascii="TimesNewRoman" w:hAnsi="TimesNewRoman" w:eastAsia="仿宋_GB2312" w:cs="TimesNewRoman"/>
          <w:bCs/>
          <w:sz w:val="32"/>
          <w:szCs w:val="32"/>
        </w:rPr>
        <w:t>（二）</w:t>
      </w:r>
      <w:r>
        <w:rPr>
          <w:rFonts w:hint="eastAsia" w:ascii="TimesNewRoman" w:hAnsi="TimesNewRoman" w:eastAsia="仿宋_GB2312" w:cs="TimesNewRoman"/>
          <w:kern w:val="0"/>
          <w:sz w:val="32"/>
          <w:szCs w:val="32"/>
          <w:lang w:val="en-US" w:eastAsia="zh-CN" w:bidi="ar-SA"/>
        </w:rPr>
        <w:t>负责本行政区域内住房公积金的归集，使用和管理工作；</w:t>
      </w:r>
    </w:p>
    <w:p>
      <w:pPr>
        <w:spacing w:line="520" w:lineRule="exact"/>
        <w:ind w:firstLine="640" w:firstLineChars="200"/>
        <w:rPr>
          <w:rFonts w:hint="eastAsia" w:ascii="TimesNewRoman" w:hAnsi="TimesNewRoman" w:eastAsia="仿宋_GB2312" w:cs="TimesNewRoman"/>
          <w:kern w:val="0"/>
          <w:sz w:val="32"/>
          <w:szCs w:val="32"/>
          <w:lang w:val="en-US" w:eastAsia="zh-CN" w:bidi="ar-SA"/>
        </w:rPr>
      </w:pPr>
      <w:r>
        <w:rPr>
          <w:rFonts w:hint="eastAsia" w:ascii="TimesNewRoman" w:hAnsi="TimesNewRoman" w:eastAsia="仿宋_GB2312" w:cs="TimesNewRoman"/>
          <w:kern w:val="0"/>
          <w:sz w:val="32"/>
          <w:szCs w:val="32"/>
          <w:lang w:val="en-US" w:eastAsia="zh-CN" w:bidi="ar-SA"/>
        </w:rPr>
        <w:t>（三）依法接受省和同级政府有关职能部门的监督管理和社会监督；</w:t>
      </w:r>
    </w:p>
    <w:p>
      <w:pPr>
        <w:pStyle w:val="5"/>
        <w:adjustRightInd w:val="0"/>
        <w:snapToGrid w:val="0"/>
        <w:spacing w:line="560" w:lineRule="exact"/>
        <w:ind w:firstLine="627" w:firstLineChars="196"/>
        <w:rPr>
          <w:rFonts w:hint="eastAsia" w:ascii="TimesNewRoman" w:hAnsi="TimesNewRoman" w:eastAsia="仿宋_GB2312" w:cs="TimesNewRoman"/>
          <w:kern w:val="0"/>
          <w:sz w:val="32"/>
          <w:szCs w:val="32"/>
          <w:lang w:val="en-US" w:eastAsia="zh-CN" w:bidi="ar-SA"/>
        </w:rPr>
      </w:pPr>
      <w:r>
        <w:rPr>
          <w:rFonts w:hint="eastAsia" w:ascii="TimesNewRoman" w:hAnsi="TimesNewRoman" w:eastAsia="仿宋_GB2312" w:cs="TimesNewRoman"/>
          <w:kern w:val="0"/>
          <w:sz w:val="32"/>
          <w:szCs w:val="32"/>
          <w:lang w:val="en-US" w:eastAsia="zh-CN" w:bidi="ar-SA"/>
        </w:rPr>
        <w:t>（四）编制执行住房公积金的归集、使用计划；</w:t>
      </w:r>
    </w:p>
    <w:p>
      <w:pPr>
        <w:pStyle w:val="5"/>
        <w:adjustRightInd w:val="0"/>
        <w:snapToGrid w:val="0"/>
        <w:spacing w:line="560" w:lineRule="exact"/>
        <w:ind w:firstLine="627" w:firstLineChars="196"/>
        <w:rPr>
          <w:rFonts w:hint="eastAsia" w:ascii="TimesNewRoman" w:hAnsi="TimesNewRoman" w:eastAsia="仿宋_GB2312" w:cs="TimesNewRoman"/>
          <w:kern w:val="0"/>
          <w:sz w:val="32"/>
          <w:szCs w:val="32"/>
          <w:lang w:val="en-US" w:eastAsia="zh-CN" w:bidi="ar-SA"/>
        </w:rPr>
      </w:pPr>
      <w:r>
        <w:rPr>
          <w:rFonts w:hint="eastAsia" w:ascii="TimesNewRoman" w:hAnsi="TimesNewRoman" w:eastAsia="仿宋_GB2312" w:cs="TimesNewRoman"/>
          <w:kern w:val="0"/>
          <w:sz w:val="32"/>
          <w:szCs w:val="32"/>
          <w:lang w:val="en-US" w:eastAsia="zh-CN" w:bidi="ar-SA"/>
        </w:rPr>
        <w:t>（五）负责记载职工住房公积金的缴存、提取、使用等情况；</w:t>
      </w:r>
    </w:p>
    <w:p>
      <w:pPr>
        <w:pStyle w:val="5"/>
        <w:adjustRightInd w:val="0"/>
        <w:snapToGrid w:val="0"/>
        <w:spacing w:line="560" w:lineRule="exact"/>
        <w:ind w:firstLine="627" w:firstLineChars="196"/>
        <w:rPr>
          <w:rFonts w:hint="eastAsia" w:ascii="TimesNewRoman" w:hAnsi="TimesNewRoman" w:eastAsia="仿宋_GB2312" w:cs="TimesNewRoman"/>
          <w:kern w:val="0"/>
          <w:sz w:val="32"/>
          <w:szCs w:val="32"/>
          <w:lang w:val="en-US" w:eastAsia="zh-CN" w:bidi="ar-SA"/>
        </w:rPr>
      </w:pPr>
      <w:r>
        <w:rPr>
          <w:rFonts w:hint="eastAsia" w:ascii="TimesNewRoman" w:hAnsi="TimesNewRoman" w:eastAsia="仿宋_GB2312" w:cs="TimesNewRoman"/>
          <w:kern w:val="0"/>
          <w:sz w:val="32"/>
          <w:szCs w:val="32"/>
          <w:lang w:val="en-US" w:eastAsia="zh-CN" w:bidi="ar-SA"/>
        </w:rPr>
        <w:t>（六）负责住房公积金的核算；</w:t>
      </w:r>
    </w:p>
    <w:p>
      <w:pPr>
        <w:pStyle w:val="5"/>
        <w:adjustRightInd w:val="0"/>
        <w:snapToGrid w:val="0"/>
        <w:spacing w:line="560" w:lineRule="exact"/>
        <w:ind w:firstLine="627" w:firstLineChars="196"/>
        <w:rPr>
          <w:rFonts w:hint="eastAsia" w:ascii="TimesNewRoman" w:hAnsi="TimesNewRoman" w:eastAsia="仿宋_GB2312" w:cs="TimesNewRoman"/>
          <w:kern w:val="0"/>
          <w:sz w:val="32"/>
          <w:szCs w:val="32"/>
          <w:lang w:val="en-US" w:eastAsia="zh-CN" w:bidi="ar-SA"/>
        </w:rPr>
      </w:pPr>
      <w:r>
        <w:rPr>
          <w:rFonts w:hint="eastAsia" w:ascii="TimesNewRoman" w:hAnsi="TimesNewRoman" w:eastAsia="仿宋_GB2312" w:cs="TimesNewRoman"/>
          <w:kern w:val="0"/>
          <w:sz w:val="32"/>
          <w:szCs w:val="32"/>
          <w:lang w:val="en-US" w:eastAsia="zh-CN" w:bidi="ar-SA"/>
        </w:rPr>
        <w:t>（七）审批住房公积金的提取、使用；</w:t>
      </w:r>
    </w:p>
    <w:p>
      <w:pPr>
        <w:pStyle w:val="5"/>
        <w:adjustRightInd w:val="0"/>
        <w:snapToGrid w:val="0"/>
        <w:spacing w:line="560" w:lineRule="exact"/>
        <w:ind w:firstLine="627" w:firstLineChars="196"/>
        <w:rPr>
          <w:rFonts w:hint="eastAsia" w:ascii="TimesNewRoman" w:hAnsi="TimesNewRoman" w:eastAsia="仿宋_GB2312" w:cs="TimesNewRoman"/>
          <w:kern w:val="0"/>
          <w:sz w:val="32"/>
          <w:szCs w:val="32"/>
          <w:lang w:val="en-US" w:eastAsia="zh-CN" w:bidi="ar-SA"/>
        </w:rPr>
      </w:pPr>
      <w:r>
        <w:rPr>
          <w:rFonts w:hint="eastAsia" w:ascii="TimesNewRoman" w:hAnsi="TimesNewRoman" w:eastAsia="仿宋_GB2312" w:cs="TimesNewRoman"/>
          <w:kern w:val="0"/>
          <w:sz w:val="32"/>
          <w:szCs w:val="32"/>
          <w:lang w:val="en-US" w:eastAsia="zh-CN" w:bidi="ar-SA"/>
        </w:rPr>
        <w:t>（八）负责住房公积金的保值和归还；</w:t>
      </w:r>
    </w:p>
    <w:p>
      <w:pPr>
        <w:pStyle w:val="5"/>
        <w:adjustRightInd w:val="0"/>
        <w:snapToGrid w:val="0"/>
        <w:spacing w:line="560" w:lineRule="exact"/>
        <w:ind w:firstLine="627" w:firstLineChars="196"/>
        <w:rPr>
          <w:rFonts w:hint="eastAsia" w:ascii="TimesNewRoman" w:hAnsi="TimesNewRoman" w:eastAsia="仿宋_GB2312" w:cs="TimesNewRoman"/>
          <w:kern w:val="0"/>
          <w:sz w:val="32"/>
          <w:szCs w:val="32"/>
          <w:lang w:val="en-US" w:eastAsia="zh-CN" w:bidi="ar-SA"/>
        </w:rPr>
      </w:pPr>
      <w:r>
        <w:rPr>
          <w:rFonts w:hint="eastAsia" w:ascii="TimesNewRoman" w:hAnsi="TimesNewRoman" w:eastAsia="仿宋_GB2312" w:cs="TimesNewRoman"/>
          <w:kern w:val="0"/>
          <w:sz w:val="32"/>
          <w:szCs w:val="32"/>
          <w:lang w:val="en-US" w:eastAsia="zh-CN" w:bidi="ar-SA"/>
        </w:rPr>
        <w:t>（九）编制住房公积金归集、使用计划的执行情况的报告；</w:t>
      </w:r>
    </w:p>
    <w:p>
      <w:pPr>
        <w:pStyle w:val="5"/>
        <w:adjustRightInd w:val="0"/>
        <w:snapToGrid w:val="0"/>
        <w:spacing w:line="560" w:lineRule="exact"/>
        <w:ind w:firstLine="627" w:firstLineChars="196"/>
        <w:rPr>
          <w:rFonts w:ascii="TimesNewRoman" w:hAnsi="TimesNewRoman" w:eastAsia="仿宋_GB2312" w:cs="TimesNewRoman"/>
          <w:bCs/>
          <w:sz w:val="32"/>
          <w:szCs w:val="32"/>
        </w:rPr>
      </w:pPr>
      <w:r>
        <w:rPr>
          <w:rFonts w:hint="eastAsia" w:ascii="TimesNewRoman" w:hAnsi="TimesNewRoman" w:eastAsia="仿宋_GB2312" w:cs="TimesNewRoman"/>
          <w:kern w:val="0"/>
          <w:sz w:val="32"/>
          <w:szCs w:val="32"/>
          <w:lang w:val="en-US" w:eastAsia="zh-CN" w:bidi="ar-SA"/>
        </w:rPr>
        <w:t>（十）承办住房公积金管理委员会决定的其他事项。</w:t>
      </w:r>
    </w:p>
    <w:p>
      <w:pPr>
        <w:pStyle w:val="5"/>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二、部门预算构成</w:t>
      </w:r>
    </w:p>
    <w:p>
      <w:pPr>
        <w:pStyle w:val="5"/>
        <w:adjustRightInd w:val="0"/>
        <w:snapToGrid w:val="0"/>
        <w:spacing w:line="560" w:lineRule="exact"/>
        <w:ind w:firstLine="627" w:firstLineChars="196"/>
        <w:rPr>
          <w:rFonts w:ascii="TimesNewRoman" w:hAnsi="TimesNewRoman" w:eastAsia="仿宋_GB2312" w:cs="TimesNewRoman"/>
          <w:sz w:val="32"/>
          <w:szCs w:val="32"/>
        </w:rPr>
      </w:pPr>
      <w:r>
        <w:rPr>
          <w:rFonts w:hint="eastAsia" w:ascii="TimesNewRoman" w:hAnsi="TimesNewRoman" w:eastAsia="仿宋_GB2312" w:cs="TimesNewRoman"/>
          <w:sz w:val="32"/>
          <w:szCs w:val="32"/>
        </w:rPr>
        <w:t>从预算单位构成看，</w:t>
      </w:r>
      <w:r>
        <w:rPr>
          <w:rFonts w:hint="eastAsia" w:ascii="TimesNewRoman" w:hAnsi="TimesNewRoman" w:eastAsia="仿宋_GB2312" w:cs="TimesNewRoman"/>
          <w:bCs/>
          <w:sz w:val="32"/>
          <w:szCs w:val="32"/>
          <w:lang w:val="en-US" w:eastAsia="zh-CN"/>
        </w:rPr>
        <w:t>淮北市住房公积金管理中心</w:t>
      </w:r>
      <w:r>
        <w:rPr>
          <w:rFonts w:hint="eastAsia" w:ascii="TimesNewRoman" w:hAnsi="TimesNewRoman" w:eastAsia="仿宋_GB2312" w:cs="TimesNewRoman"/>
          <w:sz w:val="32"/>
          <w:szCs w:val="32"/>
        </w:rPr>
        <w:t>2024年度部门预算仅包括</w:t>
      </w:r>
      <w:r>
        <w:rPr>
          <w:rFonts w:hint="eastAsia" w:ascii="TimesNewRoman" w:hAnsi="TimesNewRoman" w:eastAsia="仿宋_GB2312" w:cs="TimesNewRoman"/>
          <w:sz w:val="32"/>
          <w:szCs w:val="32"/>
          <w:lang w:val="en-US" w:eastAsia="zh-CN"/>
        </w:rPr>
        <w:t>市中心</w:t>
      </w:r>
      <w:r>
        <w:rPr>
          <w:rFonts w:hint="eastAsia" w:ascii="TimesNewRoman" w:hAnsi="TimesNewRoman" w:eastAsia="仿宋_GB2312" w:cs="TimesNewRoman"/>
          <w:sz w:val="32"/>
          <w:szCs w:val="32"/>
        </w:rPr>
        <w:t>本级预算，无其他下属单位预算。</w:t>
      </w:r>
    </w:p>
    <w:p>
      <w:pPr>
        <w:pStyle w:val="5"/>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三、2024年度主要工作任务</w:t>
      </w:r>
    </w:p>
    <w:p>
      <w:pPr>
        <w:numPr>
          <w:ilvl w:val="0"/>
          <w:numId w:val="0"/>
        </w:numPr>
        <w:bidi w:val="0"/>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Times New Roman" w:eastAsia="仿宋_GB2312" w:cs="Times New Roman"/>
          <w:sz w:val="32"/>
          <w:szCs w:val="32"/>
          <w:highlight w:val="none"/>
          <w:lang w:val="en-US" w:eastAsia="zh-CN"/>
        </w:rPr>
        <w:t xml:space="preserve"> </w:t>
      </w:r>
      <w:r>
        <w:rPr>
          <w:rFonts w:hint="eastAsia" w:ascii="TimesNewRoman" w:hAnsi="TimesNewRoman" w:eastAsia="仿宋_GB2312" w:cs="TimesNewRoman"/>
          <w:bCs/>
          <w:sz w:val="32"/>
          <w:szCs w:val="32"/>
        </w:rPr>
        <w:t>（一）</w:t>
      </w:r>
      <w:r>
        <w:rPr>
          <w:rFonts w:hint="eastAsia" w:ascii="仿宋_GB2312" w:hAnsi="仿宋_GB2312" w:eastAsia="仿宋_GB2312" w:cs="仿宋_GB2312"/>
          <w:kern w:val="2"/>
          <w:sz w:val="32"/>
          <w:szCs w:val="32"/>
          <w:lang w:val="en-US" w:eastAsia="zh-CN" w:bidi="ar-SA"/>
        </w:rPr>
        <w:t>加强信息化建设。一是完善信息共享机制。加快推进信息共享核查工作，充分利用“淮海十城”、“长三角协查”等渠道，拓宽资料核验手段，防范骗提套取公积金行为。二是落实电子档案二期建设。按照电子档案建设“三年规划”，</w:t>
      </w:r>
      <w:r>
        <w:rPr>
          <w:rFonts w:hint="eastAsia" w:ascii="仿宋_GB2312" w:hAnsi="仿宋_GB2312" w:eastAsia="仿宋_GB2312" w:cs="仿宋_GB2312"/>
          <w:sz w:val="32"/>
          <w:szCs w:val="32"/>
          <w:lang w:val="en-US" w:eastAsia="zh-CN"/>
        </w:rPr>
        <w:t>协调财政及数据管理部门，建设</w:t>
      </w:r>
      <w:r>
        <w:rPr>
          <w:rFonts w:hint="eastAsia" w:ascii="Times New Roman" w:hAnsi="Times New Roman" w:eastAsia="仿宋" w:cs="Times New Roman"/>
          <w:b w:val="0"/>
          <w:bCs w:val="0"/>
          <w:sz w:val="32"/>
          <w:szCs w:val="32"/>
          <w:lang w:val="en-US" w:eastAsia="zh-CN"/>
        </w:rPr>
        <w:t>柜面AI</w:t>
      </w:r>
      <w:r>
        <w:rPr>
          <w:rFonts w:hint="eastAsia" w:ascii="仿宋_GB2312" w:hAnsi="仿宋_GB2312" w:eastAsia="仿宋_GB2312" w:cs="仿宋_GB2312"/>
          <w:sz w:val="32"/>
          <w:szCs w:val="32"/>
          <w:lang w:val="en-US" w:eastAsia="zh-CN"/>
        </w:rPr>
        <w:t>智能系统，</w:t>
      </w:r>
      <w:r>
        <w:rPr>
          <w:rFonts w:hint="eastAsia" w:ascii="仿宋_GB2312" w:hAnsi="仿宋_GB2312" w:eastAsia="仿宋_GB2312" w:cs="仿宋_GB2312"/>
          <w:sz w:val="32"/>
          <w:szCs w:val="32"/>
        </w:rPr>
        <w:t>通过</w:t>
      </w:r>
      <w:r>
        <w:rPr>
          <w:rFonts w:hint="eastAsia" w:ascii="仿宋_GB2312" w:hAnsi="仿宋_GB2312" w:eastAsia="仿宋_GB2312" w:cs="仿宋_GB2312"/>
          <w:sz w:val="32"/>
          <w:szCs w:val="32"/>
          <w:lang w:val="en-US" w:eastAsia="zh-CN"/>
        </w:rPr>
        <w:t>人证比对算法对</w:t>
      </w:r>
      <w:r>
        <w:rPr>
          <w:rFonts w:hint="eastAsia" w:ascii="仿宋_GB2312" w:hAnsi="仿宋_GB2312" w:eastAsia="仿宋_GB2312" w:cs="仿宋_GB2312"/>
          <w:sz w:val="32"/>
          <w:szCs w:val="32"/>
        </w:rPr>
        <w:t>身份证图片和获取的</w:t>
      </w:r>
      <w:r>
        <w:rPr>
          <w:rFonts w:hint="eastAsia" w:ascii="仿宋_GB2312" w:hAnsi="仿宋_GB2312" w:eastAsia="仿宋_GB2312" w:cs="仿宋_GB2312"/>
          <w:sz w:val="32"/>
          <w:szCs w:val="32"/>
          <w:lang w:val="en-US" w:eastAsia="zh-CN"/>
        </w:rPr>
        <w:t>现场</w:t>
      </w:r>
      <w:r>
        <w:rPr>
          <w:rFonts w:hint="eastAsia" w:ascii="仿宋_GB2312" w:hAnsi="仿宋_GB2312" w:eastAsia="仿宋_GB2312" w:cs="仿宋_GB2312"/>
          <w:sz w:val="32"/>
          <w:szCs w:val="32"/>
        </w:rPr>
        <w:t>人脸图片</w:t>
      </w:r>
      <w:r>
        <w:rPr>
          <w:rFonts w:hint="eastAsia" w:ascii="仿宋_GB2312" w:hAnsi="仿宋_GB2312" w:eastAsia="仿宋_GB2312" w:cs="仿宋_GB2312"/>
          <w:sz w:val="32"/>
          <w:szCs w:val="32"/>
          <w:lang w:val="en-US" w:eastAsia="zh-CN"/>
        </w:rPr>
        <w:t>进行离线比对，保障业务的真实性。</w:t>
      </w:r>
      <w:r>
        <w:rPr>
          <w:rFonts w:hint="eastAsia" w:ascii="仿宋_GB2312" w:hAnsi="仿宋_GB2312" w:eastAsia="仿宋_GB2312" w:cs="仿宋_GB2312"/>
          <w:kern w:val="2"/>
          <w:sz w:val="32"/>
          <w:szCs w:val="32"/>
          <w:lang w:val="en-US" w:eastAsia="zh-CN" w:bidi="ar-SA"/>
        </w:rPr>
        <w:t>三是建设</w:t>
      </w:r>
      <w:r>
        <w:rPr>
          <w:rFonts w:hint="eastAsia" w:ascii="仿宋_GB2312" w:hAnsi="仿宋_GB2312" w:eastAsia="仿宋_GB2312" w:cs="仿宋_GB2312"/>
          <w:sz w:val="32"/>
          <w:szCs w:val="32"/>
          <w:lang w:val="en-US" w:eastAsia="zh-CN"/>
        </w:rPr>
        <w:t>体检评估系统。</w:t>
      </w:r>
      <w:r>
        <w:rPr>
          <w:rFonts w:hint="eastAsia" w:ascii="仿宋_GB2312" w:hAnsi="仿宋_GB2312" w:eastAsia="仿宋_GB2312" w:cs="仿宋_GB2312"/>
          <w:sz w:val="32"/>
          <w:szCs w:val="32"/>
        </w:rPr>
        <w:t>按照《住房公积金管理中心体检评估工作方案》</w:t>
      </w:r>
      <w:r>
        <w:rPr>
          <w:rFonts w:hint="eastAsia" w:ascii="仿宋_GB2312" w:hAnsi="仿宋_GB2312" w:eastAsia="仿宋_GB2312" w:cs="仿宋_GB2312"/>
          <w:sz w:val="32"/>
          <w:szCs w:val="32"/>
          <w:lang w:val="en-US" w:eastAsia="zh-CN"/>
        </w:rPr>
        <w:t>要求，</w:t>
      </w:r>
      <w:r>
        <w:rPr>
          <w:rFonts w:hint="eastAsia" w:ascii="仿宋_GB2312" w:hAnsi="仿宋_GB2312" w:eastAsia="仿宋_GB2312" w:cs="仿宋_GB2312"/>
          <w:sz w:val="32"/>
          <w:szCs w:val="32"/>
        </w:rPr>
        <w:t>建设符合行业标准、业务标准和技术规范</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lang w:val="en-US" w:eastAsia="zh-CN"/>
        </w:rPr>
        <w:t>体检评估系统</w:t>
      </w:r>
      <w:r>
        <w:rPr>
          <w:rFonts w:hint="eastAsia" w:ascii="仿宋_GB2312" w:hAnsi="仿宋_GB2312" w:eastAsia="仿宋_GB2312" w:cs="仿宋_GB2312"/>
          <w:sz w:val="32"/>
          <w:szCs w:val="32"/>
        </w:rPr>
        <w:t>，支持“中心自评+监管处复评”的工作机制</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提升服务质量。一是推动住房公积金业务受理窗口向银行和开发企业延伸，打破业务受理的局限，提高办理效率。二是根据业务办理情况和地区特点，结合线下网点分布，对自助终端机进行再分配，最大程度扩大设备和网点的覆盖范围。三是以办事大厅搬迁为契机，梳理我市高频政务服务事项，推出更多“一件事”套餐式集成服务，全面落实“一件事一次办”。</w:t>
      </w:r>
    </w:p>
    <w:p>
      <w:pPr>
        <w:pStyle w:val="10"/>
        <w:ind w:firstLine="640" w:firstLineChars="200"/>
        <w:jc w:val="both"/>
        <w:rPr>
          <w:rFonts w:hint="eastAsia" w:ascii="仿宋" w:hAnsi="仿宋" w:eastAsia="仿宋"/>
          <w:sz w:val="32"/>
          <w:szCs w:val="32"/>
          <w:lang w:eastAsia="zh-CN"/>
        </w:rPr>
      </w:pPr>
      <w:r>
        <w:rPr>
          <w:rFonts w:hint="eastAsia" w:ascii="仿宋_GB2312" w:hAnsi="仿宋_GB2312" w:eastAsia="仿宋_GB2312" w:cs="仿宋_GB2312"/>
          <w:kern w:val="2"/>
          <w:sz w:val="32"/>
          <w:szCs w:val="32"/>
          <w:lang w:val="en-US" w:eastAsia="zh-CN" w:bidi="ar-SA"/>
        </w:rPr>
        <w:t>（三）优化贷款业务。一是开发上线“公积金贷款辅助计算器”，帮助缴存人和房产销售人员精准计算贷款额度、年限、月还款额等贷款信息。二是</w:t>
      </w:r>
      <w:r>
        <w:rPr>
          <w:rFonts w:hint="eastAsia" w:ascii="仿宋" w:hAnsi="仿宋" w:eastAsia="仿宋"/>
          <w:sz w:val="32"/>
          <w:szCs w:val="32"/>
        </w:rPr>
        <w:t>统一贷款合同文本，</w:t>
      </w:r>
      <w:r>
        <w:rPr>
          <w:rFonts w:hint="eastAsia" w:ascii="仿宋" w:hAnsi="仿宋" w:eastAsia="仿宋"/>
          <w:sz w:val="32"/>
          <w:szCs w:val="32"/>
          <w:lang w:eastAsia="zh-CN"/>
        </w:rPr>
        <w:t>强调</w:t>
      </w:r>
      <w:r>
        <w:rPr>
          <w:rFonts w:hint="eastAsia" w:ascii="仿宋" w:hAnsi="仿宋" w:eastAsia="仿宋"/>
          <w:sz w:val="32"/>
          <w:szCs w:val="32"/>
        </w:rPr>
        <w:t>规范化、标准化，为开展贷款</w:t>
      </w:r>
      <w:r>
        <w:rPr>
          <w:rFonts w:hint="eastAsia" w:ascii="仿宋" w:hAnsi="仿宋" w:eastAsia="仿宋"/>
          <w:sz w:val="32"/>
          <w:szCs w:val="32"/>
          <w:lang w:eastAsia="zh-CN"/>
        </w:rPr>
        <w:t>“不见面”</w:t>
      </w:r>
      <w:r>
        <w:rPr>
          <w:rFonts w:hint="eastAsia" w:ascii="仿宋" w:hAnsi="仿宋" w:eastAsia="仿宋"/>
          <w:sz w:val="32"/>
          <w:szCs w:val="32"/>
        </w:rPr>
        <w:t>审批做</w:t>
      </w:r>
      <w:r>
        <w:rPr>
          <w:rFonts w:hint="eastAsia" w:ascii="仿宋" w:hAnsi="仿宋" w:eastAsia="仿宋"/>
          <w:sz w:val="32"/>
          <w:szCs w:val="32"/>
          <w:lang w:eastAsia="zh-CN"/>
        </w:rPr>
        <w:t>好前期</w:t>
      </w:r>
      <w:r>
        <w:rPr>
          <w:rFonts w:hint="eastAsia" w:ascii="仿宋" w:hAnsi="仿宋" w:eastAsia="仿宋"/>
          <w:sz w:val="32"/>
          <w:szCs w:val="32"/>
        </w:rPr>
        <w:t>准备。</w:t>
      </w:r>
      <w:r>
        <w:rPr>
          <w:rFonts w:hint="eastAsia" w:ascii="仿宋" w:hAnsi="仿宋" w:eastAsia="仿宋"/>
          <w:sz w:val="32"/>
          <w:szCs w:val="32"/>
          <w:lang w:eastAsia="zh-CN"/>
        </w:rPr>
        <w:t>三是出台公积金人才支持政策。结合市人才引进支持措施，提高人才贷款额度，减轻其购房压力，使人才落户淮北更轻松。</w:t>
      </w:r>
    </w:p>
    <w:p>
      <w:pPr>
        <w:numPr>
          <w:ilvl w:val="0"/>
          <w:numId w:val="0"/>
        </w:numPr>
        <w:ind w:firstLine="640" w:firstLineChars="200"/>
        <w:jc w:val="both"/>
        <w:rPr>
          <w:rFonts w:ascii="TimesNewRoman" w:hAnsi="TimesNewRoman" w:eastAsia="仿宋_GB2312" w:cs="TimesNewRoman"/>
          <w:bCs/>
          <w:sz w:val="32"/>
          <w:szCs w:val="32"/>
        </w:rPr>
      </w:pPr>
      <w:r>
        <w:rPr>
          <w:rFonts w:hint="eastAsia" w:ascii="仿宋" w:hAnsi="仿宋" w:eastAsia="仿宋"/>
          <w:sz w:val="32"/>
          <w:szCs w:val="32"/>
          <w:lang w:val="en-US" w:eastAsia="zh-CN"/>
        </w:rPr>
        <w:t>（四）强化资金风险管理。一是依托智慧风险防控平台，结合工作实际情况，优化财务模块，逐一排查和堵塞风险点，在业务系统内开发住房公积金资金结息比对模块，及时核对各委办行结息，确保资金结息及时、准确。二是</w:t>
      </w:r>
      <w:r>
        <w:rPr>
          <w:rFonts w:hint="eastAsia" w:ascii="仿宋_GB2312" w:hAnsi="仿宋_GB2312" w:eastAsia="仿宋_GB2312" w:cs="仿宋_GB2312"/>
          <w:b w:val="0"/>
          <w:bCs w:val="0"/>
          <w:sz w:val="32"/>
          <w:szCs w:val="40"/>
          <w:lang w:val="en-US" w:eastAsia="zh-CN"/>
        </w:rPr>
        <w:t>按照中心电子档案建设计划，建立财务电子档案模块，做好测试及开发上线等相关工作。</w:t>
      </w:r>
    </w:p>
    <w:p/>
    <w:p>
      <w:pPr>
        <w:pStyle w:val="5"/>
        <w:adjustRightInd w:val="0"/>
        <w:snapToGrid w:val="0"/>
        <w:spacing w:line="560" w:lineRule="exact"/>
        <w:jc w:val="center"/>
        <w:rPr>
          <w:rFonts w:ascii="TimesNewRoman" w:hAnsi="TimesNewRoman" w:eastAsia="黑体" w:cs="TimesNewRoman"/>
          <w:bCs/>
          <w:sz w:val="36"/>
          <w:szCs w:val="36"/>
        </w:rPr>
      </w:pPr>
      <w:r>
        <w:rPr>
          <w:rFonts w:hint="eastAsia" w:ascii="TimesNewRoman" w:hAnsi="TimesNewRoman" w:eastAsia="黑体" w:cs="TimesNewRoman"/>
          <w:bCs/>
          <w:sz w:val="36"/>
          <w:szCs w:val="36"/>
        </w:rPr>
        <w:t>第二部分 2024年部门预算表</w:t>
      </w:r>
    </w:p>
    <w:p>
      <w:pPr>
        <w:pStyle w:val="5"/>
        <w:adjustRightInd w:val="0"/>
        <w:snapToGrid w:val="0"/>
        <w:spacing w:line="560" w:lineRule="exact"/>
        <w:ind w:firstLine="627" w:firstLineChars="196"/>
        <w:jc w:val="center"/>
        <w:rPr>
          <w:rFonts w:ascii="TimesNewRoman" w:hAnsi="TimesNewRoman" w:eastAsia="仿宋_GB2312" w:cs="TimesNewRoman"/>
          <w:bCs/>
          <w:sz w:val="32"/>
          <w:szCs w:val="32"/>
        </w:rPr>
      </w:pPr>
      <w:r>
        <w:rPr>
          <w:rFonts w:hint="eastAsia" w:ascii="TimesNewRoman" w:hAnsi="TimesNewRoman" w:eastAsia="仿宋_GB2312" w:cs="TimesNewRoman"/>
          <w:bCs/>
          <w:sz w:val="32"/>
          <w:szCs w:val="32"/>
        </w:rPr>
        <w:t>见附件1-2</w:t>
      </w:r>
    </w:p>
    <w:p>
      <w:r>
        <w:t xml:space="preserve">                                        </w:t>
      </w:r>
    </w:p>
    <w:p>
      <w:pPr>
        <w:pStyle w:val="5"/>
        <w:adjustRightInd w:val="0"/>
        <w:snapToGrid w:val="0"/>
        <w:spacing w:line="560" w:lineRule="exact"/>
        <w:jc w:val="center"/>
        <w:rPr>
          <w:rFonts w:ascii="TimesNewRoman" w:hAnsi="TimesNewRoman" w:eastAsia="黑体" w:cs="TimesNewRoman"/>
          <w:bCs/>
          <w:sz w:val="36"/>
          <w:szCs w:val="36"/>
        </w:rPr>
      </w:pPr>
      <w:r>
        <w:rPr>
          <w:rFonts w:hint="eastAsia" w:ascii="TimesNewRoman" w:hAnsi="TimesNewRoman" w:eastAsia="黑体" w:cs="TimesNewRoman"/>
          <w:bCs/>
          <w:sz w:val="36"/>
          <w:szCs w:val="36"/>
        </w:rPr>
        <w:t>第三部分 2024年部门预算情况说明</w:t>
      </w:r>
    </w:p>
    <w:p/>
    <w:p>
      <w:pPr>
        <w:pStyle w:val="5"/>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一、关于2024年收支总表的说明</w:t>
      </w:r>
    </w:p>
    <w:p>
      <w:pPr>
        <w:pStyle w:val="5"/>
        <w:adjustRightInd w:val="0"/>
        <w:snapToGrid w:val="0"/>
        <w:spacing w:line="560" w:lineRule="exact"/>
        <w:ind w:firstLine="627" w:firstLineChars="196"/>
        <w:rPr>
          <w:rFonts w:ascii="TimesNewRoman" w:hAnsi="TimesNewRoman" w:eastAsia="楷体_GB2312" w:cs="TimesNewRoman"/>
          <w:color w:val="FF0000"/>
          <w:sz w:val="32"/>
          <w:szCs w:val="32"/>
        </w:rPr>
      </w:pPr>
      <w:r>
        <w:rPr>
          <w:rFonts w:hint="eastAsia" w:ascii="TimesNewRoman" w:hAnsi="TimesNewRoman" w:eastAsia="仿宋_GB2312" w:cs="TimesNewRoman"/>
          <w:sz w:val="32"/>
          <w:szCs w:val="32"/>
        </w:rPr>
        <w:t>按照综合预算的原则，淮北市</w:t>
      </w:r>
      <w:r>
        <w:rPr>
          <w:rFonts w:hint="eastAsia" w:ascii="TimesNewRoman" w:hAnsi="TimesNewRoman" w:eastAsia="仿宋_GB2312" w:cs="TimesNewRoman"/>
          <w:sz w:val="32"/>
          <w:szCs w:val="32"/>
          <w:lang w:val="en-US" w:eastAsia="zh-CN"/>
        </w:rPr>
        <w:t>住房公积金管理中心</w:t>
      </w:r>
      <w:r>
        <w:rPr>
          <w:rFonts w:hint="eastAsia" w:ascii="TimesNewRoman" w:hAnsi="TimesNewRoman" w:eastAsia="仿宋_GB2312" w:cs="TimesNewRoman"/>
          <w:sz w:val="32"/>
          <w:szCs w:val="32"/>
        </w:rPr>
        <w:t>所有收入和支出均纳入部门预算管理。淮北市</w:t>
      </w:r>
      <w:r>
        <w:rPr>
          <w:rFonts w:hint="eastAsia" w:ascii="TimesNewRoman" w:hAnsi="TimesNewRoman" w:eastAsia="仿宋_GB2312" w:cs="TimesNewRoman"/>
          <w:sz w:val="32"/>
          <w:szCs w:val="32"/>
          <w:lang w:val="en-US" w:eastAsia="zh-CN"/>
        </w:rPr>
        <w:t>住房公积金管理中心</w:t>
      </w:r>
      <w:r>
        <w:rPr>
          <w:rFonts w:hint="eastAsia" w:ascii="TimesNewRoman" w:hAnsi="TimesNewRoman" w:eastAsia="仿宋_GB2312" w:cs="TimesNewRoman"/>
          <w:sz w:val="32"/>
          <w:szCs w:val="32"/>
        </w:rPr>
        <w:t>2024年收支总预算</w:t>
      </w:r>
      <w:r>
        <w:rPr>
          <w:rFonts w:hint="default" w:ascii="TimesNewRoman" w:hAnsi="TimesNewRoman" w:eastAsia="仿宋_GB2312" w:cs="TimesNewRoman"/>
          <w:sz w:val="32"/>
          <w:szCs w:val="32"/>
          <w:lang w:val="en-US"/>
        </w:rPr>
        <w:t>2072.02</w:t>
      </w:r>
      <w:r>
        <w:rPr>
          <w:rFonts w:hint="eastAsia" w:ascii="TimesNewRoman" w:hAnsi="TimesNewRoman" w:eastAsia="仿宋_GB2312" w:cs="TimesNewRoman"/>
          <w:sz w:val="32"/>
          <w:szCs w:val="32"/>
        </w:rPr>
        <w:t>万元，收入包括一般公共预算拨款收入、</w:t>
      </w:r>
      <w:r>
        <w:rPr>
          <w:rFonts w:hint="eastAsia" w:ascii="TimesNewRoman" w:hAnsi="TimesNewRoman" w:eastAsia="仿宋_GB2312" w:cs="TimesNewRoman"/>
          <w:sz w:val="32"/>
          <w:szCs w:val="32"/>
          <w:lang w:val="en-US" w:eastAsia="zh-CN"/>
        </w:rPr>
        <w:t>上年结转</w:t>
      </w:r>
      <w:r>
        <w:rPr>
          <w:rFonts w:hint="eastAsia" w:ascii="TimesNewRoman" w:hAnsi="TimesNewRoman" w:eastAsia="仿宋_GB2312" w:cs="TimesNewRoman"/>
          <w:sz w:val="32"/>
          <w:szCs w:val="32"/>
        </w:rPr>
        <w:t>，支出包括</w:t>
      </w:r>
      <w:r>
        <w:rPr>
          <w:rFonts w:hint="eastAsia" w:ascii="TimesNewRoman" w:hAnsi="TimesNewRoman" w:eastAsia="仿宋_GB2312" w:cs="TimesNewRoman"/>
          <w:sz w:val="32"/>
          <w:szCs w:val="32"/>
          <w:lang w:eastAsia="zh-CN"/>
        </w:rPr>
        <w:t>：</w:t>
      </w:r>
      <w:r>
        <w:rPr>
          <w:rFonts w:hint="eastAsia" w:ascii="TimesNewRoman" w:hAnsi="TimesNewRoman" w:eastAsia="仿宋_GB2312" w:cs="TimesNewRoman"/>
          <w:sz w:val="32"/>
          <w:szCs w:val="32"/>
          <w:lang w:val="en-US" w:eastAsia="zh-CN"/>
        </w:rPr>
        <w:t>社会保障和就业支出、</w:t>
      </w:r>
      <w:r>
        <w:rPr>
          <w:rFonts w:hint="eastAsia" w:ascii="TimesNewRoman" w:hAnsi="TimesNewRoman" w:eastAsia="仿宋_GB2312" w:cs="TimesNewRoman"/>
          <w:sz w:val="32"/>
          <w:szCs w:val="32"/>
        </w:rPr>
        <w:t>住房保障支出</w:t>
      </w:r>
      <w:r>
        <w:rPr>
          <w:rFonts w:hint="eastAsia" w:ascii="TimesNewRoman" w:hAnsi="TimesNewRoman" w:eastAsia="仿宋_GB2312" w:cs="TimesNewRoman"/>
          <w:sz w:val="32"/>
          <w:szCs w:val="32"/>
          <w:lang w:eastAsia="zh-CN"/>
        </w:rPr>
        <w:t>。</w:t>
      </w:r>
    </w:p>
    <w:p>
      <w:pPr>
        <w:pStyle w:val="5"/>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二、关于2024年收入总表的说明</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w:t>
      </w:r>
      <w:r>
        <w:rPr>
          <w:rFonts w:hint="eastAsia" w:ascii="TimesNewRoman" w:hAnsi="TimesNewRoman" w:eastAsia="仿宋_GB2312" w:cs="TimesNewRoman"/>
          <w:kern w:val="0"/>
          <w:sz w:val="32"/>
          <w:szCs w:val="32"/>
          <w:lang w:val="en-US" w:eastAsia="zh-CN"/>
        </w:rPr>
        <w:t>住房公积金管理中心</w:t>
      </w:r>
      <w:r>
        <w:rPr>
          <w:rFonts w:hint="eastAsia" w:ascii="TimesNewRoman" w:hAnsi="TimesNewRoman" w:eastAsia="仿宋_GB2312" w:cs="TimesNewRoman"/>
          <w:kern w:val="0"/>
          <w:sz w:val="32"/>
          <w:szCs w:val="32"/>
        </w:rPr>
        <w:t>2024年收入预算</w:t>
      </w:r>
      <w:r>
        <w:rPr>
          <w:rFonts w:hint="default" w:ascii="TimesNewRoman" w:hAnsi="TimesNewRoman" w:eastAsia="仿宋_GB2312" w:cs="TimesNewRoman"/>
          <w:kern w:val="0"/>
          <w:sz w:val="32"/>
          <w:szCs w:val="32"/>
          <w:lang w:val="en-US"/>
        </w:rPr>
        <w:t>2072.02</w:t>
      </w:r>
      <w:r>
        <w:rPr>
          <w:rFonts w:hint="eastAsia" w:ascii="TimesNewRoman" w:hAnsi="TimesNewRoman" w:eastAsia="仿宋_GB2312" w:cs="TimesNewRoman"/>
          <w:kern w:val="0"/>
          <w:sz w:val="32"/>
          <w:szCs w:val="32"/>
        </w:rPr>
        <w:t>万元，其中，本年收入</w:t>
      </w:r>
      <w:r>
        <w:rPr>
          <w:rFonts w:hint="default" w:ascii="TimesNewRoman" w:hAnsi="TimesNewRoman" w:eastAsia="仿宋_GB2312" w:cs="TimesNewRoman"/>
          <w:kern w:val="0"/>
          <w:sz w:val="32"/>
          <w:szCs w:val="32"/>
          <w:lang w:val="en-US"/>
        </w:rPr>
        <w:t>2000.80</w:t>
      </w:r>
      <w:r>
        <w:rPr>
          <w:rFonts w:hint="eastAsia" w:ascii="TimesNewRoman" w:hAnsi="TimesNewRoman" w:eastAsia="仿宋_GB2312" w:cs="TimesNewRoman"/>
          <w:kern w:val="0"/>
          <w:sz w:val="32"/>
          <w:szCs w:val="32"/>
        </w:rPr>
        <w:t>万元。</w:t>
      </w:r>
    </w:p>
    <w:p>
      <w:pPr>
        <w:ind w:firstLine="643" w:firstLineChars="200"/>
        <w:rPr>
          <w:rFonts w:ascii="TimesNewRoman" w:hAnsi="TimesNewRoman" w:eastAsia="仿宋_GB2312" w:cs="TimesNewRoman"/>
          <w:kern w:val="0"/>
          <w:sz w:val="32"/>
          <w:szCs w:val="32"/>
        </w:rPr>
      </w:pPr>
      <w:r>
        <w:rPr>
          <w:rFonts w:hint="eastAsia" w:ascii="TimesNewRoman" w:hAnsi="TimesNewRoman" w:eastAsia="仿宋_GB2312" w:cs="TimesNewRoman"/>
          <w:b/>
          <w:kern w:val="0"/>
          <w:sz w:val="32"/>
          <w:szCs w:val="32"/>
        </w:rPr>
        <w:t>（一）本年收入</w:t>
      </w:r>
      <w:r>
        <w:rPr>
          <w:rFonts w:hint="default" w:ascii="TimesNewRoman" w:hAnsi="TimesNewRoman" w:eastAsia="仿宋_GB2312" w:cs="TimesNewRoman"/>
          <w:b/>
          <w:kern w:val="0"/>
          <w:sz w:val="32"/>
          <w:szCs w:val="32"/>
          <w:lang w:val="en-US"/>
        </w:rPr>
        <w:t>2000.80</w:t>
      </w:r>
      <w:r>
        <w:rPr>
          <w:rFonts w:hint="eastAsia" w:ascii="TimesNewRoman" w:hAnsi="TimesNewRoman" w:eastAsia="仿宋_GB2312" w:cs="TimesNewRoman"/>
          <w:b/>
          <w:kern w:val="0"/>
          <w:sz w:val="32"/>
          <w:szCs w:val="32"/>
        </w:rPr>
        <w:t>万元，</w:t>
      </w:r>
      <w:r>
        <w:rPr>
          <w:rFonts w:hint="eastAsia" w:ascii="TimesNewRoman" w:hAnsi="TimesNewRoman" w:eastAsia="仿宋_GB2312" w:cs="TimesNewRoman"/>
          <w:kern w:val="0"/>
          <w:sz w:val="32"/>
          <w:szCs w:val="32"/>
        </w:rPr>
        <w:t>主要包括：一般公共预算拨款收入</w:t>
      </w:r>
      <w:r>
        <w:rPr>
          <w:rFonts w:hint="default" w:ascii="TimesNewRoman" w:hAnsi="TimesNewRoman" w:eastAsia="仿宋_GB2312" w:cs="TimesNewRoman"/>
          <w:kern w:val="0"/>
          <w:sz w:val="32"/>
          <w:szCs w:val="32"/>
          <w:lang w:val="en-US"/>
        </w:rPr>
        <w:t>2000.80</w:t>
      </w:r>
      <w:r>
        <w:rPr>
          <w:rFonts w:hint="eastAsia" w:ascii="TimesNewRoman" w:hAnsi="TimesNewRoman" w:eastAsia="仿宋_GB2312" w:cs="TimesNewRoman"/>
          <w:kern w:val="0"/>
          <w:sz w:val="32"/>
          <w:szCs w:val="32"/>
        </w:rPr>
        <w:t>万元，占</w:t>
      </w:r>
      <w:r>
        <w:rPr>
          <w:rFonts w:hint="default" w:ascii="TimesNewRoman" w:hAnsi="TimesNewRoman" w:eastAsia="仿宋_GB2312" w:cs="TimesNewRoman"/>
          <w:kern w:val="0"/>
          <w:sz w:val="32"/>
          <w:szCs w:val="32"/>
          <w:lang w:val="en-US"/>
        </w:rPr>
        <w:t>100</w:t>
      </w:r>
      <w:r>
        <w:rPr>
          <w:rFonts w:hint="eastAsia" w:ascii="TimesNewRoman" w:hAnsi="TimesNewRoman" w:eastAsia="仿宋_GB2312" w:cs="TimesNewRoman"/>
          <w:kern w:val="0"/>
          <w:sz w:val="32"/>
          <w:szCs w:val="32"/>
        </w:rPr>
        <w:t>%，比2023年预算减少</w:t>
      </w:r>
      <w:r>
        <w:rPr>
          <w:rFonts w:hint="default" w:ascii="TimesNewRoman" w:hAnsi="TimesNewRoman" w:eastAsia="仿宋_GB2312" w:cs="TimesNewRoman"/>
          <w:kern w:val="0"/>
          <w:sz w:val="32"/>
          <w:szCs w:val="32"/>
          <w:lang w:val="en-US"/>
        </w:rPr>
        <w:t>165.61</w:t>
      </w:r>
      <w:r>
        <w:rPr>
          <w:rFonts w:hint="eastAsia" w:ascii="TimesNewRoman" w:hAnsi="TimesNewRoman" w:eastAsia="仿宋_GB2312" w:cs="TimesNewRoman"/>
          <w:kern w:val="0"/>
          <w:sz w:val="32"/>
          <w:szCs w:val="32"/>
        </w:rPr>
        <w:t>万元，下降</w:t>
      </w:r>
      <w:r>
        <w:rPr>
          <w:rFonts w:hint="default" w:ascii="TimesNewRoman" w:hAnsi="TimesNewRoman" w:eastAsia="仿宋_GB2312" w:cs="TimesNewRoman"/>
          <w:kern w:val="0"/>
          <w:sz w:val="32"/>
          <w:szCs w:val="32"/>
          <w:lang w:val="en-US"/>
        </w:rPr>
        <w:t>7.64</w:t>
      </w:r>
      <w:r>
        <w:rPr>
          <w:rFonts w:hint="eastAsia" w:ascii="TimesNewRoman" w:hAnsi="TimesNewRoman" w:eastAsia="仿宋_GB2312" w:cs="TimesNewRoman"/>
          <w:kern w:val="0"/>
          <w:sz w:val="32"/>
          <w:szCs w:val="32"/>
        </w:rPr>
        <w:t>%，原因主要是</w:t>
      </w:r>
      <w:r>
        <w:rPr>
          <w:rFonts w:hint="eastAsia" w:ascii="仿宋_GB2312" w:eastAsia="仿宋_GB2312"/>
          <w:sz w:val="32"/>
          <w:szCs w:val="32"/>
          <w:highlight w:val="none"/>
          <w:lang w:val="en-US" w:eastAsia="zh-CN"/>
        </w:rPr>
        <w:t>202</w:t>
      </w:r>
      <w:r>
        <w:rPr>
          <w:rFonts w:hint="default" w:ascii="仿宋_GB2312" w:eastAsia="仿宋_GB2312"/>
          <w:sz w:val="32"/>
          <w:szCs w:val="32"/>
          <w:highlight w:val="none"/>
          <w:lang w:val="en-US" w:eastAsia="zh-CN"/>
        </w:rPr>
        <w:t>3</w:t>
      </w:r>
      <w:r>
        <w:rPr>
          <w:rFonts w:hint="eastAsia" w:ascii="仿宋_GB2312" w:eastAsia="仿宋_GB2312"/>
          <w:sz w:val="32"/>
          <w:szCs w:val="32"/>
          <w:highlight w:val="none"/>
          <w:lang w:val="en-US" w:eastAsia="zh-CN"/>
        </w:rPr>
        <w:t>年市中心完成了对淮矿、皖北两个分中心的移交接收工作，实现了全市住房公积金统一核算，部门收入减少。</w:t>
      </w:r>
    </w:p>
    <w:p>
      <w:pPr>
        <w:pStyle w:val="5"/>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三、关于2024年支出总表的说明</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w:t>
      </w:r>
      <w:r>
        <w:rPr>
          <w:rFonts w:hint="eastAsia" w:ascii="TimesNewRoman" w:hAnsi="TimesNewRoman" w:eastAsia="仿宋_GB2312" w:cs="TimesNewRoman"/>
          <w:kern w:val="0"/>
          <w:sz w:val="32"/>
          <w:szCs w:val="32"/>
          <w:lang w:val="en-US" w:eastAsia="zh-CN"/>
        </w:rPr>
        <w:t>住房公积金管理中心</w:t>
      </w:r>
      <w:r>
        <w:rPr>
          <w:rFonts w:hint="eastAsia" w:ascii="TimesNewRoman" w:hAnsi="TimesNewRoman" w:eastAsia="仿宋_GB2312" w:cs="TimesNewRoman"/>
          <w:kern w:val="0"/>
          <w:sz w:val="32"/>
          <w:szCs w:val="32"/>
        </w:rPr>
        <w:t>2024年支出预算</w:t>
      </w:r>
      <w:r>
        <w:rPr>
          <w:rFonts w:hint="default" w:ascii="TimesNewRoman" w:hAnsi="TimesNewRoman" w:eastAsia="仿宋_GB2312" w:cs="TimesNewRoman"/>
          <w:kern w:val="0"/>
          <w:sz w:val="32"/>
          <w:szCs w:val="32"/>
          <w:lang w:val="en-US"/>
        </w:rPr>
        <w:t>2072.02</w:t>
      </w:r>
      <w:r>
        <w:rPr>
          <w:rFonts w:hint="eastAsia" w:ascii="TimesNewRoman" w:hAnsi="TimesNewRoman" w:eastAsia="仿宋_GB2312" w:cs="TimesNewRoman"/>
          <w:kern w:val="0"/>
          <w:sz w:val="32"/>
          <w:szCs w:val="32"/>
        </w:rPr>
        <w:t>万元，比2023年预算减少</w:t>
      </w:r>
      <w:r>
        <w:rPr>
          <w:rFonts w:hint="default" w:ascii="TimesNewRoman" w:hAnsi="TimesNewRoman" w:eastAsia="仿宋_GB2312" w:cs="TimesNewRoman"/>
          <w:kern w:val="0"/>
          <w:sz w:val="32"/>
          <w:szCs w:val="32"/>
          <w:lang w:val="en-US"/>
        </w:rPr>
        <w:t>94.39</w:t>
      </w:r>
      <w:r>
        <w:rPr>
          <w:rFonts w:hint="eastAsia" w:ascii="TimesNewRoman" w:hAnsi="TimesNewRoman" w:eastAsia="仿宋_GB2312" w:cs="TimesNewRoman"/>
          <w:kern w:val="0"/>
          <w:sz w:val="32"/>
          <w:szCs w:val="32"/>
        </w:rPr>
        <w:t>万元，下降</w:t>
      </w:r>
      <w:r>
        <w:rPr>
          <w:rFonts w:hint="default" w:ascii="TimesNewRoman" w:hAnsi="TimesNewRoman" w:eastAsia="仿宋_GB2312" w:cs="TimesNewRoman"/>
          <w:kern w:val="0"/>
          <w:sz w:val="32"/>
          <w:szCs w:val="32"/>
          <w:lang w:val="en-US"/>
        </w:rPr>
        <w:t>4.36</w:t>
      </w:r>
      <w:r>
        <w:rPr>
          <w:rFonts w:hint="eastAsia" w:ascii="TimesNewRoman" w:hAnsi="TimesNewRoman" w:eastAsia="仿宋_GB2312" w:cs="TimesNewRoman"/>
          <w:kern w:val="0"/>
          <w:sz w:val="32"/>
          <w:szCs w:val="32"/>
        </w:rPr>
        <w:t>%，原因主要是</w:t>
      </w:r>
      <w:r>
        <w:rPr>
          <w:rFonts w:hint="eastAsia" w:ascii="仿宋_GB2312" w:eastAsia="仿宋_GB2312"/>
          <w:sz w:val="32"/>
          <w:szCs w:val="32"/>
          <w:highlight w:val="none"/>
          <w:lang w:val="en-US" w:eastAsia="zh-CN"/>
        </w:rPr>
        <w:t>202</w:t>
      </w:r>
      <w:r>
        <w:rPr>
          <w:rFonts w:hint="default" w:ascii="仿宋_GB2312" w:eastAsia="仿宋_GB2312"/>
          <w:sz w:val="32"/>
          <w:szCs w:val="32"/>
          <w:highlight w:val="none"/>
          <w:lang w:val="en-US" w:eastAsia="zh-CN"/>
        </w:rPr>
        <w:t>3</w:t>
      </w:r>
      <w:r>
        <w:rPr>
          <w:rFonts w:hint="eastAsia" w:ascii="仿宋_GB2312" w:eastAsia="仿宋_GB2312"/>
          <w:sz w:val="32"/>
          <w:szCs w:val="32"/>
          <w:highlight w:val="none"/>
          <w:lang w:val="en-US" w:eastAsia="zh-CN"/>
        </w:rPr>
        <w:t>年市中心完成了对淮矿、皖北两个分中心的移交接收工作，实现了全市住房公积金统一核算，部门支出减少</w:t>
      </w:r>
      <w:r>
        <w:rPr>
          <w:rFonts w:hint="eastAsia" w:ascii="仿宋_GB2312" w:eastAsia="仿宋_GB2312"/>
          <w:sz w:val="32"/>
          <w:szCs w:val="32"/>
        </w:rPr>
        <w:t>。</w:t>
      </w:r>
      <w:r>
        <w:rPr>
          <w:rFonts w:hint="eastAsia" w:ascii="TimesNewRoman" w:hAnsi="TimesNewRoman" w:eastAsia="仿宋_GB2312" w:cs="TimesNewRoman"/>
          <w:kern w:val="0"/>
          <w:sz w:val="32"/>
          <w:szCs w:val="32"/>
        </w:rPr>
        <w:t>其中，基本支出</w:t>
      </w:r>
      <w:r>
        <w:rPr>
          <w:rFonts w:hint="default" w:ascii="TimesNewRoman" w:hAnsi="TimesNewRoman" w:eastAsia="仿宋_GB2312" w:cs="TimesNewRoman"/>
          <w:kern w:val="0"/>
          <w:sz w:val="32"/>
          <w:szCs w:val="32"/>
          <w:lang w:val="en-US"/>
        </w:rPr>
        <w:t>890.21</w:t>
      </w:r>
      <w:r>
        <w:rPr>
          <w:rFonts w:hint="eastAsia" w:ascii="TimesNewRoman" w:hAnsi="TimesNewRoman" w:eastAsia="仿宋_GB2312" w:cs="TimesNewRoman"/>
          <w:kern w:val="0"/>
          <w:sz w:val="32"/>
          <w:szCs w:val="32"/>
        </w:rPr>
        <w:t>万元，占</w:t>
      </w:r>
      <w:r>
        <w:rPr>
          <w:rFonts w:hint="default" w:ascii="TimesNewRoman" w:hAnsi="TimesNewRoman" w:eastAsia="仿宋_GB2312" w:cs="TimesNewRoman"/>
          <w:kern w:val="0"/>
          <w:sz w:val="32"/>
          <w:szCs w:val="32"/>
          <w:lang w:val="en-US"/>
        </w:rPr>
        <w:t>42.96</w:t>
      </w:r>
      <w:r>
        <w:rPr>
          <w:rFonts w:hint="eastAsia" w:ascii="TimesNewRoman" w:hAnsi="TimesNewRoman" w:eastAsia="仿宋_GB2312" w:cs="TimesNewRoman"/>
          <w:kern w:val="0"/>
          <w:sz w:val="32"/>
          <w:szCs w:val="32"/>
        </w:rPr>
        <w:t>%，主要用于保障机构日常运转、完成日常工作任务；项目支出</w:t>
      </w:r>
      <w:r>
        <w:rPr>
          <w:rFonts w:hint="default" w:ascii="TimesNewRoman" w:hAnsi="TimesNewRoman" w:eastAsia="仿宋_GB2312" w:cs="TimesNewRoman"/>
          <w:kern w:val="0"/>
          <w:sz w:val="32"/>
          <w:szCs w:val="32"/>
          <w:lang w:val="en-US"/>
        </w:rPr>
        <w:t>1181.81</w:t>
      </w:r>
      <w:r>
        <w:rPr>
          <w:rFonts w:hint="eastAsia" w:ascii="TimesNewRoman" w:hAnsi="TimesNewRoman" w:eastAsia="仿宋_GB2312" w:cs="TimesNewRoman"/>
          <w:kern w:val="0"/>
          <w:sz w:val="32"/>
          <w:szCs w:val="32"/>
        </w:rPr>
        <w:t>万元，占</w:t>
      </w:r>
      <w:r>
        <w:rPr>
          <w:rFonts w:hint="default" w:ascii="TimesNewRoman" w:hAnsi="TimesNewRoman" w:eastAsia="仿宋_GB2312" w:cs="TimesNewRoman"/>
          <w:kern w:val="0"/>
          <w:sz w:val="32"/>
          <w:szCs w:val="32"/>
          <w:lang w:val="en-US"/>
        </w:rPr>
        <w:t>57.04</w:t>
      </w:r>
      <w:r>
        <w:rPr>
          <w:rFonts w:hint="eastAsia" w:ascii="TimesNewRoman" w:hAnsi="TimesNewRoman" w:eastAsia="仿宋_GB2312" w:cs="TimesNewRoman"/>
          <w:kern w:val="0"/>
          <w:sz w:val="32"/>
          <w:szCs w:val="32"/>
        </w:rPr>
        <w:t>%，主要用于</w:t>
      </w:r>
      <w:r>
        <w:rPr>
          <w:rFonts w:hint="eastAsia" w:ascii="TimesNewRoman" w:hAnsi="TimesNewRoman" w:eastAsia="仿宋_GB2312" w:cs="TimesNewRoman"/>
          <w:kern w:val="0"/>
          <w:sz w:val="32"/>
          <w:szCs w:val="32"/>
          <w:lang w:val="en-US" w:eastAsia="zh-CN"/>
        </w:rPr>
        <w:t>办公运行经费、办公楼运行费、单位运行劳务经费、公积金信息网络线路租用、硬件及软件维护、机房系统采购、电子资源管理平台、住房公积金综合服务平台升级等。</w:t>
      </w:r>
    </w:p>
    <w:p>
      <w:pPr>
        <w:pStyle w:val="5"/>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四、关于2024年财政拨款收支总表的说明</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w:t>
      </w:r>
      <w:r>
        <w:rPr>
          <w:rFonts w:hint="eastAsia" w:ascii="TimesNewRoman" w:hAnsi="TimesNewRoman" w:eastAsia="仿宋_GB2312" w:cs="TimesNewRoman"/>
          <w:kern w:val="0"/>
          <w:sz w:val="32"/>
          <w:szCs w:val="32"/>
          <w:lang w:val="en-US" w:eastAsia="zh-CN"/>
        </w:rPr>
        <w:t>住房公积金管理中心</w:t>
      </w:r>
      <w:r>
        <w:rPr>
          <w:rFonts w:hint="eastAsia" w:ascii="TimesNewRoman" w:hAnsi="TimesNewRoman" w:eastAsia="仿宋_GB2312" w:cs="TimesNewRoman"/>
          <w:kern w:val="0"/>
          <w:sz w:val="32"/>
          <w:szCs w:val="32"/>
        </w:rPr>
        <w:t>2024年财政拨款收支预算</w:t>
      </w:r>
      <w:r>
        <w:rPr>
          <w:rFonts w:hint="default" w:ascii="TimesNewRoman" w:hAnsi="TimesNewRoman" w:eastAsia="仿宋_GB2312" w:cs="TimesNewRoman"/>
          <w:kern w:val="0"/>
          <w:sz w:val="32"/>
          <w:szCs w:val="32"/>
          <w:lang w:val="en-US"/>
        </w:rPr>
        <w:t>2072.02</w:t>
      </w:r>
      <w:r>
        <w:rPr>
          <w:rFonts w:hint="eastAsia" w:ascii="TimesNewRoman" w:hAnsi="TimesNewRoman" w:eastAsia="仿宋_GB2312" w:cs="TimesNewRoman"/>
          <w:kern w:val="0"/>
          <w:sz w:val="32"/>
          <w:szCs w:val="32"/>
        </w:rPr>
        <w:t>万元。收入按资金来源分为：一般公共预算拨款</w:t>
      </w:r>
      <w:r>
        <w:rPr>
          <w:rFonts w:hint="default" w:ascii="TimesNewRoman" w:hAnsi="TimesNewRoman" w:eastAsia="仿宋_GB2312" w:cs="TimesNewRoman"/>
          <w:kern w:val="0"/>
          <w:sz w:val="32"/>
          <w:szCs w:val="32"/>
          <w:lang w:val="en-US"/>
        </w:rPr>
        <w:t>2072.02</w:t>
      </w:r>
      <w:r>
        <w:rPr>
          <w:rFonts w:hint="eastAsia" w:ascii="TimesNewRoman" w:hAnsi="TimesNewRoman" w:eastAsia="仿宋_GB2312" w:cs="TimesNewRoman"/>
          <w:kern w:val="0"/>
          <w:sz w:val="32"/>
          <w:szCs w:val="32"/>
        </w:rPr>
        <w:t>万元、政府性基金预算拨款</w:t>
      </w:r>
      <w:r>
        <w:rPr>
          <w:rFonts w:hint="default" w:ascii="TimesNewRoman" w:hAnsi="TimesNewRoman" w:eastAsia="仿宋_GB2312" w:cs="TimesNewRoman"/>
          <w:kern w:val="0"/>
          <w:sz w:val="32"/>
          <w:szCs w:val="32"/>
          <w:lang w:val="en-US"/>
        </w:rPr>
        <w:t>0</w:t>
      </w:r>
      <w:r>
        <w:rPr>
          <w:rFonts w:hint="eastAsia" w:ascii="TimesNewRoman" w:hAnsi="TimesNewRoman" w:eastAsia="仿宋_GB2312" w:cs="TimesNewRoman"/>
          <w:kern w:val="0"/>
          <w:sz w:val="32"/>
          <w:szCs w:val="32"/>
        </w:rPr>
        <w:t>万元；按资金年度分为：本年财政拨款收入</w:t>
      </w:r>
      <w:r>
        <w:rPr>
          <w:rFonts w:hint="default" w:ascii="TimesNewRoman" w:hAnsi="TimesNewRoman" w:eastAsia="仿宋_GB2312" w:cs="TimesNewRoman"/>
          <w:kern w:val="0"/>
          <w:sz w:val="32"/>
          <w:szCs w:val="32"/>
          <w:lang w:val="en-US"/>
        </w:rPr>
        <w:t>2000.80</w:t>
      </w:r>
      <w:r>
        <w:rPr>
          <w:rFonts w:hint="eastAsia" w:ascii="TimesNewRoman" w:hAnsi="TimesNewRoman" w:eastAsia="仿宋_GB2312" w:cs="TimesNewRoman"/>
          <w:kern w:val="0"/>
          <w:sz w:val="32"/>
          <w:szCs w:val="32"/>
        </w:rPr>
        <w:t>万元</w:t>
      </w:r>
      <w:r>
        <w:rPr>
          <w:rFonts w:hint="default" w:ascii="TimesNewRoman" w:hAnsi="TimesNewRoman" w:eastAsia="仿宋_GB2312" w:cs="TimesNewRoman"/>
          <w:kern w:val="0"/>
          <w:sz w:val="32"/>
          <w:szCs w:val="32"/>
          <w:lang w:val="en-US"/>
        </w:rPr>
        <w:t>,</w:t>
      </w:r>
      <w:r>
        <w:rPr>
          <w:rFonts w:hint="eastAsia" w:ascii="TimesNewRoman" w:hAnsi="TimesNewRoman" w:eastAsia="仿宋_GB2312" w:cs="TimesNewRoman"/>
          <w:kern w:val="0"/>
          <w:sz w:val="32"/>
          <w:szCs w:val="32"/>
          <w:lang w:val="en-US" w:eastAsia="zh-CN"/>
        </w:rPr>
        <w:t>上年结转</w:t>
      </w:r>
      <w:r>
        <w:rPr>
          <w:rFonts w:hint="default" w:ascii="TimesNewRoman" w:hAnsi="TimesNewRoman" w:eastAsia="仿宋_GB2312" w:cs="TimesNewRoman"/>
          <w:kern w:val="0"/>
          <w:sz w:val="32"/>
          <w:szCs w:val="32"/>
          <w:lang w:val="en-US" w:eastAsia="zh-CN"/>
        </w:rPr>
        <w:t>71.22</w:t>
      </w:r>
      <w:r>
        <w:rPr>
          <w:rFonts w:hint="eastAsia" w:ascii="TimesNewRoman" w:hAnsi="TimesNewRoman" w:eastAsia="仿宋_GB2312" w:cs="TimesNewRoman"/>
          <w:kern w:val="0"/>
          <w:sz w:val="32"/>
          <w:szCs w:val="32"/>
          <w:lang w:val="en-US" w:eastAsia="zh-CN"/>
        </w:rPr>
        <w:t>万元</w:t>
      </w:r>
      <w:r>
        <w:rPr>
          <w:rFonts w:hint="eastAsia" w:ascii="TimesNewRoman" w:hAnsi="TimesNewRoman" w:eastAsia="仿宋_GB2312" w:cs="TimesNewRoman"/>
          <w:kern w:val="0"/>
          <w:sz w:val="32"/>
          <w:szCs w:val="32"/>
        </w:rPr>
        <w:t>。支出按功能分类分为：社会保障和就业支出</w:t>
      </w:r>
      <w:r>
        <w:rPr>
          <w:rFonts w:hint="default" w:ascii="TimesNewRoman" w:hAnsi="TimesNewRoman" w:eastAsia="仿宋_GB2312" w:cs="TimesNewRoman"/>
          <w:kern w:val="0"/>
          <w:sz w:val="32"/>
          <w:szCs w:val="32"/>
          <w:lang w:val="en-US"/>
        </w:rPr>
        <w:t>142.28</w:t>
      </w:r>
      <w:r>
        <w:rPr>
          <w:rFonts w:hint="eastAsia" w:ascii="TimesNewRoman" w:hAnsi="TimesNewRoman" w:eastAsia="仿宋_GB2312" w:cs="TimesNewRoman"/>
          <w:kern w:val="0"/>
          <w:sz w:val="32"/>
          <w:szCs w:val="32"/>
        </w:rPr>
        <w:t>万元，占</w:t>
      </w:r>
      <w:r>
        <w:rPr>
          <w:rFonts w:hint="default" w:ascii="TimesNewRoman" w:hAnsi="TimesNewRoman" w:eastAsia="仿宋_GB2312" w:cs="TimesNewRoman"/>
          <w:kern w:val="0"/>
          <w:sz w:val="32"/>
          <w:szCs w:val="32"/>
          <w:lang w:val="en-US"/>
        </w:rPr>
        <w:t>6.87</w:t>
      </w:r>
      <w:r>
        <w:rPr>
          <w:rFonts w:hint="eastAsia" w:ascii="TimesNewRoman" w:hAnsi="TimesNewRoman" w:eastAsia="仿宋_GB2312" w:cs="TimesNewRoman"/>
          <w:kern w:val="0"/>
          <w:sz w:val="32"/>
          <w:szCs w:val="32"/>
        </w:rPr>
        <w:t>%；住房保障支出</w:t>
      </w:r>
      <w:r>
        <w:rPr>
          <w:rFonts w:hint="default" w:ascii="TimesNewRoman" w:hAnsi="TimesNewRoman" w:eastAsia="仿宋_GB2312" w:cs="TimesNewRoman"/>
          <w:kern w:val="0"/>
          <w:sz w:val="32"/>
          <w:szCs w:val="32"/>
          <w:lang w:val="en-US"/>
        </w:rPr>
        <w:t>1929.74</w:t>
      </w:r>
      <w:r>
        <w:rPr>
          <w:rFonts w:hint="eastAsia" w:ascii="TimesNewRoman" w:hAnsi="TimesNewRoman" w:eastAsia="仿宋_GB2312" w:cs="TimesNewRoman"/>
          <w:kern w:val="0"/>
          <w:sz w:val="32"/>
          <w:szCs w:val="32"/>
        </w:rPr>
        <w:t>万元，占</w:t>
      </w:r>
      <w:r>
        <w:rPr>
          <w:rFonts w:hint="default" w:ascii="TimesNewRoman" w:hAnsi="TimesNewRoman" w:eastAsia="仿宋_GB2312" w:cs="TimesNewRoman"/>
          <w:kern w:val="0"/>
          <w:sz w:val="32"/>
          <w:szCs w:val="32"/>
          <w:lang w:val="en-US"/>
        </w:rPr>
        <w:t>93.13</w:t>
      </w:r>
      <w:r>
        <w:rPr>
          <w:rFonts w:hint="eastAsia" w:ascii="TimesNewRoman" w:hAnsi="TimesNewRoman" w:eastAsia="仿宋_GB2312" w:cs="TimesNewRoman"/>
          <w:kern w:val="0"/>
          <w:sz w:val="32"/>
          <w:szCs w:val="32"/>
        </w:rPr>
        <w:t>%。</w:t>
      </w:r>
    </w:p>
    <w:p>
      <w:pPr>
        <w:pStyle w:val="5"/>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五、关于2024年一般公共预算支出表的说明</w:t>
      </w:r>
    </w:p>
    <w:p>
      <w:pPr>
        <w:pStyle w:val="5"/>
        <w:adjustRightInd w:val="0"/>
        <w:snapToGrid w:val="0"/>
        <w:spacing w:line="560" w:lineRule="exact"/>
        <w:ind w:firstLine="630" w:firstLineChars="196"/>
        <w:rPr>
          <w:rFonts w:ascii="TimesNewRoman" w:hAnsi="TimesNewRoman" w:eastAsia="楷体_GB2312" w:cs="TimesNewRoman"/>
          <w:b/>
          <w:sz w:val="32"/>
          <w:szCs w:val="32"/>
        </w:rPr>
      </w:pPr>
      <w:r>
        <w:rPr>
          <w:rFonts w:hint="eastAsia" w:ascii="TimesNewRoman" w:hAnsi="TimesNewRoman" w:eastAsia="楷体_GB2312" w:cs="TimesNewRoman"/>
          <w:b/>
          <w:sz w:val="32"/>
          <w:szCs w:val="32"/>
        </w:rPr>
        <w:t>（一）一般公共预算支出规模变化情况。</w:t>
      </w:r>
    </w:p>
    <w:p>
      <w:pPr>
        <w:ind w:firstLine="640" w:firstLineChars="200"/>
        <w:rPr>
          <w:rFonts w:hint="eastAsia" w:ascii="仿宋_GB2312" w:eastAsia="仿宋_GB2312"/>
          <w:sz w:val="32"/>
          <w:szCs w:val="32"/>
        </w:rPr>
      </w:pPr>
      <w:r>
        <w:rPr>
          <w:rFonts w:hint="eastAsia" w:ascii="TimesNewRoman" w:hAnsi="TimesNewRoman" w:eastAsia="仿宋_GB2312" w:cs="TimesNewRoman"/>
          <w:kern w:val="0"/>
          <w:sz w:val="32"/>
          <w:szCs w:val="32"/>
        </w:rPr>
        <w:t>淮北市</w:t>
      </w:r>
      <w:r>
        <w:rPr>
          <w:rFonts w:hint="eastAsia" w:ascii="TimesNewRoman" w:hAnsi="TimesNewRoman" w:eastAsia="仿宋_GB2312" w:cs="TimesNewRoman"/>
          <w:kern w:val="0"/>
          <w:sz w:val="32"/>
          <w:szCs w:val="32"/>
          <w:lang w:val="en-US" w:eastAsia="zh-CN"/>
        </w:rPr>
        <w:t>住房公积金管理中心</w:t>
      </w:r>
      <w:r>
        <w:rPr>
          <w:rFonts w:hint="eastAsia" w:ascii="TimesNewRoman" w:hAnsi="TimesNewRoman" w:eastAsia="仿宋_GB2312" w:cs="TimesNewRoman"/>
          <w:kern w:val="0"/>
          <w:sz w:val="32"/>
          <w:szCs w:val="32"/>
        </w:rPr>
        <w:t>2024年一般公共预算支出</w:t>
      </w:r>
      <w:r>
        <w:rPr>
          <w:rFonts w:hint="default" w:ascii="TimesNewRoman" w:hAnsi="TimesNewRoman" w:eastAsia="仿宋_GB2312" w:cs="TimesNewRoman"/>
          <w:kern w:val="0"/>
          <w:sz w:val="32"/>
          <w:szCs w:val="32"/>
          <w:lang w:val="en-US"/>
        </w:rPr>
        <w:t>2072.02</w:t>
      </w:r>
      <w:r>
        <w:rPr>
          <w:rFonts w:hint="eastAsia" w:ascii="TimesNewRoman" w:hAnsi="TimesNewRoman" w:eastAsia="仿宋_GB2312" w:cs="TimesNewRoman"/>
          <w:kern w:val="0"/>
          <w:sz w:val="32"/>
          <w:szCs w:val="32"/>
        </w:rPr>
        <w:t>万元，比2023年预算减少</w:t>
      </w:r>
      <w:r>
        <w:rPr>
          <w:rFonts w:hint="default" w:ascii="TimesNewRoman" w:hAnsi="TimesNewRoman" w:eastAsia="仿宋_GB2312" w:cs="TimesNewRoman"/>
          <w:kern w:val="0"/>
          <w:sz w:val="32"/>
          <w:szCs w:val="32"/>
          <w:lang w:val="en-US"/>
        </w:rPr>
        <w:t>94.39</w:t>
      </w:r>
      <w:r>
        <w:rPr>
          <w:rFonts w:hint="eastAsia" w:ascii="TimesNewRoman" w:hAnsi="TimesNewRoman" w:eastAsia="仿宋_GB2312" w:cs="TimesNewRoman"/>
          <w:kern w:val="0"/>
          <w:sz w:val="32"/>
          <w:szCs w:val="32"/>
        </w:rPr>
        <w:t>万元，下降</w:t>
      </w:r>
      <w:r>
        <w:rPr>
          <w:rFonts w:hint="default" w:ascii="TimesNewRoman" w:hAnsi="TimesNewRoman" w:eastAsia="仿宋_GB2312" w:cs="TimesNewRoman"/>
          <w:kern w:val="0"/>
          <w:sz w:val="32"/>
          <w:szCs w:val="32"/>
          <w:lang w:val="en-US"/>
        </w:rPr>
        <w:t>4.36</w:t>
      </w:r>
      <w:r>
        <w:rPr>
          <w:rFonts w:hint="eastAsia" w:ascii="TimesNewRoman" w:hAnsi="TimesNewRoman" w:eastAsia="仿宋_GB2312" w:cs="TimesNewRoman"/>
          <w:kern w:val="0"/>
          <w:sz w:val="32"/>
          <w:szCs w:val="32"/>
        </w:rPr>
        <w:t>%，主要原因：</w:t>
      </w:r>
      <w:r>
        <w:rPr>
          <w:rFonts w:hint="eastAsia" w:ascii="仿宋_GB2312" w:eastAsia="仿宋_GB2312"/>
          <w:sz w:val="32"/>
          <w:szCs w:val="32"/>
          <w:highlight w:val="none"/>
          <w:lang w:val="en-US" w:eastAsia="zh-CN"/>
        </w:rPr>
        <w:t>202</w:t>
      </w:r>
      <w:r>
        <w:rPr>
          <w:rFonts w:hint="default" w:ascii="仿宋_GB2312" w:eastAsia="仿宋_GB2312"/>
          <w:sz w:val="32"/>
          <w:szCs w:val="32"/>
          <w:highlight w:val="none"/>
          <w:lang w:val="en-US" w:eastAsia="zh-CN"/>
        </w:rPr>
        <w:t>3</w:t>
      </w:r>
      <w:r>
        <w:rPr>
          <w:rFonts w:hint="eastAsia" w:ascii="仿宋_GB2312" w:eastAsia="仿宋_GB2312"/>
          <w:sz w:val="32"/>
          <w:szCs w:val="32"/>
          <w:highlight w:val="none"/>
          <w:lang w:val="en-US" w:eastAsia="zh-CN"/>
        </w:rPr>
        <w:t>年市中心完成了对淮矿、皖北两个分中心的移交接收工作，实现了全市住房公积金统一核算，部门支出减少</w:t>
      </w:r>
      <w:r>
        <w:rPr>
          <w:rFonts w:hint="eastAsia" w:ascii="仿宋_GB2312" w:eastAsia="仿宋_GB2312"/>
          <w:sz w:val="32"/>
          <w:szCs w:val="32"/>
        </w:rPr>
        <w:t>。</w:t>
      </w:r>
    </w:p>
    <w:p>
      <w:pPr>
        <w:ind w:firstLine="643" w:firstLineChars="200"/>
        <w:rPr>
          <w:rFonts w:ascii="TimesNewRoman" w:hAnsi="TimesNewRoman" w:eastAsia="楷体_GB2312" w:cs="TimesNewRoman"/>
          <w:b/>
          <w:sz w:val="32"/>
          <w:szCs w:val="32"/>
        </w:rPr>
      </w:pPr>
      <w:r>
        <w:rPr>
          <w:rFonts w:hint="eastAsia" w:ascii="TimesNewRoman" w:hAnsi="TimesNewRoman" w:eastAsia="楷体_GB2312" w:cs="TimesNewRoman"/>
          <w:b/>
          <w:sz w:val="32"/>
          <w:szCs w:val="32"/>
        </w:rPr>
        <w:t>（二）一般公共预算支出结构情况。</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社会保障和就业支出</w:t>
      </w:r>
      <w:r>
        <w:rPr>
          <w:rFonts w:hint="default" w:ascii="TimesNewRoman" w:hAnsi="TimesNewRoman" w:eastAsia="仿宋_GB2312" w:cs="TimesNewRoman"/>
          <w:kern w:val="0"/>
          <w:sz w:val="32"/>
          <w:szCs w:val="32"/>
          <w:lang w:val="en-US"/>
        </w:rPr>
        <w:t>142.28</w:t>
      </w:r>
      <w:r>
        <w:rPr>
          <w:rFonts w:hint="eastAsia" w:ascii="TimesNewRoman" w:hAnsi="TimesNewRoman" w:eastAsia="仿宋_GB2312" w:cs="TimesNewRoman"/>
          <w:kern w:val="0"/>
          <w:sz w:val="32"/>
          <w:szCs w:val="32"/>
        </w:rPr>
        <w:t>万元，占</w:t>
      </w:r>
      <w:r>
        <w:rPr>
          <w:rFonts w:hint="default" w:ascii="TimesNewRoman" w:hAnsi="TimesNewRoman" w:eastAsia="仿宋_GB2312" w:cs="TimesNewRoman"/>
          <w:kern w:val="0"/>
          <w:sz w:val="32"/>
          <w:szCs w:val="32"/>
          <w:lang w:val="en-US"/>
        </w:rPr>
        <w:t>6.87</w:t>
      </w:r>
      <w:r>
        <w:rPr>
          <w:rFonts w:hint="eastAsia" w:ascii="TimesNewRoman" w:hAnsi="TimesNewRoman" w:eastAsia="仿宋_GB2312" w:cs="TimesNewRoman"/>
          <w:kern w:val="0"/>
          <w:sz w:val="32"/>
          <w:szCs w:val="32"/>
        </w:rPr>
        <w:t>%；住房保障支出</w:t>
      </w:r>
      <w:r>
        <w:rPr>
          <w:rFonts w:hint="default" w:ascii="TimesNewRoman" w:hAnsi="TimesNewRoman" w:eastAsia="仿宋_GB2312" w:cs="TimesNewRoman"/>
          <w:kern w:val="0"/>
          <w:sz w:val="32"/>
          <w:szCs w:val="32"/>
          <w:lang w:val="en-US"/>
        </w:rPr>
        <w:t>1929.74</w:t>
      </w:r>
      <w:r>
        <w:rPr>
          <w:rFonts w:hint="eastAsia" w:ascii="TimesNewRoman" w:hAnsi="TimesNewRoman" w:eastAsia="仿宋_GB2312" w:cs="TimesNewRoman"/>
          <w:kern w:val="0"/>
          <w:sz w:val="32"/>
          <w:szCs w:val="32"/>
        </w:rPr>
        <w:t>万元，占</w:t>
      </w:r>
      <w:r>
        <w:rPr>
          <w:rFonts w:hint="default" w:ascii="TimesNewRoman" w:hAnsi="TimesNewRoman" w:eastAsia="仿宋_GB2312" w:cs="TimesNewRoman"/>
          <w:kern w:val="0"/>
          <w:sz w:val="32"/>
          <w:szCs w:val="32"/>
          <w:lang w:val="en-US"/>
        </w:rPr>
        <w:t>93.13</w:t>
      </w:r>
      <w:r>
        <w:rPr>
          <w:rFonts w:hint="eastAsia" w:ascii="TimesNewRoman" w:hAnsi="TimesNewRoman" w:eastAsia="仿宋_GB2312" w:cs="TimesNewRoman"/>
          <w:kern w:val="0"/>
          <w:sz w:val="32"/>
          <w:szCs w:val="32"/>
        </w:rPr>
        <w:t>%。</w:t>
      </w:r>
    </w:p>
    <w:p>
      <w:pPr>
        <w:pStyle w:val="5"/>
        <w:adjustRightInd w:val="0"/>
        <w:snapToGrid w:val="0"/>
        <w:spacing w:line="560" w:lineRule="exact"/>
        <w:ind w:firstLine="630" w:firstLineChars="196"/>
        <w:rPr>
          <w:rFonts w:ascii="TimesNewRoman" w:hAnsi="TimesNewRoman" w:eastAsia="楷体_GB2312" w:cs="TimesNewRoman"/>
          <w:b/>
          <w:sz w:val="32"/>
          <w:szCs w:val="32"/>
        </w:rPr>
      </w:pPr>
      <w:r>
        <w:rPr>
          <w:rFonts w:hint="eastAsia" w:ascii="TimesNewRoman" w:hAnsi="TimesNewRoman" w:eastAsia="楷体_GB2312" w:cs="TimesNewRoman"/>
          <w:b/>
          <w:sz w:val="32"/>
          <w:szCs w:val="32"/>
        </w:rPr>
        <w:t>（三）一般公共预算支出具体使用情况。</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1、社会保障和就业支出（类）行政事业单位</w:t>
      </w:r>
      <w:r>
        <w:rPr>
          <w:rFonts w:hint="eastAsia" w:ascii="TimesNewRoman" w:hAnsi="TimesNewRoman" w:eastAsia="仿宋_GB2312" w:cs="TimesNewRoman"/>
          <w:kern w:val="0"/>
          <w:sz w:val="32"/>
          <w:szCs w:val="32"/>
          <w:lang w:val="en-US" w:eastAsia="zh-CN"/>
        </w:rPr>
        <w:t>养老支出</w:t>
      </w:r>
      <w:r>
        <w:rPr>
          <w:rFonts w:hint="eastAsia" w:ascii="TimesNewRoman" w:hAnsi="TimesNewRoman" w:eastAsia="仿宋_GB2312" w:cs="TimesNewRoman"/>
          <w:kern w:val="0"/>
          <w:sz w:val="32"/>
          <w:szCs w:val="32"/>
        </w:rPr>
        <w:t>（款）行政事业单位</w:t>
      </w:r>
      <w:r>
        <w:rPr>
          <w:rFonts w:hint="eastAsia" w:ascii="TimesNewRoman" w:hAnsi="TimesNewRoman" w:eastAsia="仿宋_GB2312" w:cs="TimesNewRoman"/>
          <w:kern w:val="0"/>
          <w:sz w:val="32"/>
          <w:szCs w:val="32"/>
          <w:lang w:val="en-US" w:eastAsia="zh-CN"/>
        </w:rPr>
        <w:t>职业年金缴费</w:t>
      </w:r>
      <w:r>
        <w:rPr>
          <w:rFonts w:hint="eastAsia" w:ascii="TimesNewRoman" w:hAnsi="TimesNewRoman" w:eastAsia="仿宋_GB2312" w:cs="TimesNewRoman"/>
          <w:kern w:val="0"/>
          <w:sz w:val="32"/>
          <w:szCs w:val="32"/>
        </w:rPr>
        <w:t>（项）2024年预算</w:t>
      </w:r>
      <w:r>
        <w:rPr>
          <w:rFonts w:hint="default" w:ascii="TimesNewRoman" w:hAnsi="TimesNewRoman" w:eastAsia="仿宋_GB2312" w:cs="TimesNewRoman"/>
          <w:kern w:val="0"/>
          <w:sz w:val="32"/>
          <w:szCs w:val="32"/>
          <w:lang w:val="en-US"/>
        </w:rPr>
        <w:t>33.34</w:t>
      </w:r>
      <w:r>
        <w:rPr>
          <w:rFonts w:hint="eastAsia" w:ascii="TimesNewRoman" w:hAnsi="TimesNewRoman" w:eastAsia="仿宋_GB2312" w:cs="TimesNewRoman"/>
          <w:kern w:val="0"/>
          <w:sz w:val="32"/>
          <w:szCs w:val="32"/>
        </w:rPr>
        <w:t>万元，比2023年预算增加</w:t>
      </w:r>
      <w:r>
        <w:rPr>
          <w:rFonts w:hint="default" w:ascii="TimesNewRoman" w:hAnsi="TimesNewRoman" w:eastAsia="仿宋_GB2312" w:cs="TimesNewRoman"/>
          <w:kern w:val="0"/>
          <w:sz w:val="32"/>
          <w:szCs w:val="32"/>
          <w:lang w:val="en-US"/>
        </w:rPr>
        <w:t>7.21</w:t>
      </w:r>
      <w:r>
        <w:rPr>
          <w:rFonts w:hint="eastAsia" w:ascii="TimesNewRoman" w:hAnsi="TimesNewRoman" w:eastAsia="仿宋_GB2312" w:cs="TimesNewRoman"/>
          <w:kern w:val="0"/>
          <w:sz w:val="32"/>
          <w:szCs w:val="32"/>
        </w:rPr>
        <w:t>万元，增长</w:t>
      </w:r>
      <w:r>
        <w:rPr>
          <w:rFonts w:hint="default" w:ascii="TimesNewRoman" w:hAnsi="TimesNewRoman" w:eastAsia="仿宋_GB2312" w:cs="TimesNewRoman"/>
          <w:kern w:val="0"/>
          <w:sz w:val="32"/>
          <w:szCs w:val="32"/>
          <w:lang w:val="en-US"/>
        </w:rPr>
        <w:t>27.59</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val="en-US" w:eastAsia="zh-CN"/>
        </w:rPr>
        <w:t>人员增加</w:t>
      </w:r>
      <w:r>
        <w:rPr>
          <w:rFonts w:hint="eastAsia" w:ascii="TimesNewRoman" w:hAnsi="TimesNewRoman" w:eastAsia="仿宋_GB2312" w:cs="TimesNewRoman"/>
          <w:kern w:val="0"/>
          <w:sz w:val="32"/>
          <w:szCs w:val="32"/>
        </w:rPr>
        <w:t>。</w:t>
      </w:r>
    </w:p>
    <w:p>
      <w:pPr>
        <w:pStyle w:val="2"/>
        <w:rPr>
          <w:rFonts w:hint="eastAsia" w:eastAsia="仿宋_GB2312"/>
          <w:lang w:val="en-US" w:eastAsia="zh-CN"/>
        </w:rPr>
      </w:pPr>
      <w:r>
        <w:rPr>
          <w:rFonts w:hint="default" w:ascii="TimesNewRoman" w:hAnsi="TimesNewRoman" w:cs="TimesNewRoman"/>
          <w:kern w:val="0"/>
          <w:sz w:val="32"/>
          <w:szCs w:val="32"/>
          <w:lang w:val="en-US"/>
        </w:rPr>
        <w:t>2</w:t>
      </w:r>
      <w:r>
        <w:rPr>
          <w:rFonts w:hint="eastAsia" w:ascii="TimesNewRoman" w:hAnsi="TimesNewRoman" w:cs="TimesNewRoman"/>
          <w:kern w:val="0"/>
          <w:sz w:val="32"/>
          <w:szCs w:val="32"/>
          <w:lang w:val="en-US" w:eastAsia="zh-CN"/>
        </w:rPr>
        <w:t>、</w:t>
      </w:r>
      <w:r>
        <w:rPr>
          <w:rFonts w:hint="eastAsia" w:ascii="TimesNewRoman" w:hAnsi="TimesNewRoman" w:eastAsia="仿宋_GB2312" w:cs="TimesNewRoman"/>
          <w:kern w:val="0"/>
          <w:sz w:val="32"/>
          <w:szCs w:val="32"/>
        </w:rPr>
        <w:t>社会保障和就业支出（类）</w:t>
      </w:r>
      <w:r>
        <w:rPr>
          <w:rFonts w:hint="eastAsia" w:ascii="TimesNewRoman" w:hAnsi="TimesNewRoman" w:cs="TimesNewRoman"/>
          <w:kern w:val="0"/>
          <w:sz w:val="32"/>
          <w:szCs w:val="32"/>
          <w:lang w:val="en-US" w:eastAsia="zh-CN"/>
        </w:rPr>
        <w:t>其他社会保障和就业支出</w:t>
      </w:r>
      <w:r>
        <w:rPr>
          <w:rFonts w:hint="eastAsia" w:ascii="TimesNewRoman" w:hAnsi="TimesNewRoman" w:eastAsia="仿宋_GB2312" w:cs="TimesNewRoman"/>
          <w:kern w:val="0"/>
          <w:sz w:val="32"/>
          <w:szCs w:val="32"/>
        </w:rPr>
        <w:t>（款）</w:t>
      </w:r>
      <w:r>
        <w:rPr>
          <w:rFonts w:hint="eastAsia" w:ascii="TimesNewRoman" w:hAnsi="TimesNewRoman" w:cs="TimesNewRoman"/>
          <w:kern w:val="0"/>
          <w:sz w:val="32"/>
          <w:szCs w:val="32"/>
          <w:lang w:val="en-US" w:eastAsia="zh-CN"/>
        </w:rPr>
        <w:t>其他社会保障和就业支出</w:t>
      </w:r>
      <w:r>
        <w:rPr>
          <w:rFonts w:hint="eastAsia" w:ascii="TimesNewRoman" w:hAnsi="TimesNewRoman" w:eastAsia="仿宋_GB2312" w:cs="TimesNewRoman"/>
          <w:kern w:val="0"/>
          <w:sz w:val="32"/>
          <w:szCs w:val="32"/>
        </w:rPr>
        <w:t>（项）2024年预算</w:t>
      </w:r>
      <w:r>
        <w:rPr>
          <w:rFonts w:hint="default" w:ascii="TimesNewRoman" w:hAnsi="TimesNewRoman" w:cs="TimesNewRoman"/>
          <w:kern w:val="0"/>
          <w:sz w:val="32"/>
          <w:szCs w:val="32"/>
          <w:lang w:val="en-US"/>
        </w:rPr>
        <w:t>108.94</w:t>
      </w:r>
      <w:r>
        <w:rPr>
          <w:rFonts w:hint="eastAsia" w:ascii="TimesNewRoman" w:hAnsi="TimesNewRoman" w:eastAsia="仿宋_GB2312" w:cs="TimesNewRoman"/>
          <w:kern w:val="0"/>
          <w:sz w:val="32"/>
          <w:szCs w:val="32"/>
        </w:rPr>
        <w:t>万元，比2023年预算增加</w:t>
      </w:r>
      <w:r>
        <w:rPr>
          <w:rFonts w:hint="default" w:ascii="TimesNewRoman" w:hAnsi="TimesNewRoman" w:cs="TimesNewRoman"/>
          <w:kern w:val="0"/>
          <w:sz w:val="32"/>
          <w:szCs w:val="32"/>
          <w:lang w:val="en-US"/>
        </w:rPr>
        <w:t>33.17</w:t>
      </w:r>
      <w:r>
        <w:rPr>
          <w:rFonts w:hint="eastAsia" w:ascii="TimesNewRoman" w:hAnsi="TimesNewRoman" w:eastAsia="仿宋_GB2312" w:cs="TimesNewRoman"/>
          <w:kern w:val="0"/>
          <w:sz w:val="32"/>
          <w:szCs w:val="32"/>
        </w:rPr>
        <w:t>万元，增长</w:t>
      </w:r>
      <w:r>
        <w:rPr>
          <w:rFonts w:hint="default" w:ascii="TimesNewRoman" w:hAnsi="TimesNewRoman" w:cs="TimesNewRoman"/>
          <w:kern w:val="0"/>
          <w:sz w:val="32"/>
          <w:szCs w:val="32"/>
          <w:lang w:val="en-US"/>
        </w:rPr>
        <w:t>43.78</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val="en-US" w:eastAsia="zh-CN"/>
        </w:rPr>
        <w:t>人员增加</w:t>
      </w:r>
      <w:r>
        <w:rPr>
          <w:rFonts w:hint="eastAsia" w:ascii="TimesNewRoman" w:hAnsi="TimesNewRoman" w:eastAsia="仿宋_GB2312" w:cs="TimesNewRoman"/>
          <w:kern w:val="0"/>
          <w:sz w:val="32"/>
          <w:szCs w:val="32"/>
        </w:rPr>
        <w:t>。</w:t>
      </w:r>
    </w:p>
    <w:p>
      <w:pPr>
        <w:ind w:firstLine="640" w:firstLineChars="200"/>
        <w:rPr>
          <w:rFonts w:ascii="TimesNewRoman" w:hAnsi="TimesNewRoman" w:eastAsia="楷体_GB2312" w:cs="TimesNewRoman"/>
          <w:color w:val="FF0000"/>
          <w:sz w:val="32"/>
          <w:szCs w:val="32"/>
        </w:rPr>
      </w:pPr>
      <w:r>
        <w:rPr>
          <w:rFonts w:hint="default" w:ascii="TimesNewRoman" w:hAnsi="TimesNewRoman" w:eastAsia="仿宋_GB2312" w:cs="TimesNewRoman"/>
          <w:kern w:val="0"/>
          <w:sz w:val="32"/>
          <w:szCs w:val="32"/>
          <w:lang w:val="en-US"/>
        </w:rPr>
        <w:t>3</w:t>
      </w:r>
      <w:r>
        <w:rPr>
          <w:rFonts w:hint="eastAsia" w:ascii="TimesNewRoman" w:hAnsi="TimesNewRoman" w:eastAsia="仿宋_GB2312" w:cs="TimesNewRoman"/>
          <w:kern w:val="0"/>
          <w:sz w:val="32"/>
          <w:szCs w:val="32"/>
        </w:rPr>
        <w:t>、住房保障支出（类）</w:t>
      </w:r>
      <w:r>
        <w:rPr>
          <w:rFonts w:hint="eastAsia" w:ascii="TimesNewRoman" w:hAnsi="TimesNewRoman" w:eastAsia="仿宋_GB2312" w:cs="TimesNewRoman"/>
          <w:kern w:val="0"/>
          <w:sz w:val="32"/>
          <w:szCs w:val="32"/>
          <w:lang w:val="en-US" w:eastAsia="zh-CN"/>
        </w:rPr>
        <w:t>城乡社区住宅</w:t>
      </w:r>
      <w:r>
        <w:rPr>
          <w:rFonts w:hint="eastAsia" w:ascii="TimesNewRoman" w:hAnsi="TimesNewRoman" w:eastAsia="仿宋_GB2312" w:cs="TimesNewRoman"/>
          <w:kern w:val="0"/>
          <w:sz w:val="32"/>
          <w:szCs w:val="32"/>
        </w:rPr>
        <w:t>（款）住房公积金</w:t>
      </w:r>
      <w:r>
        <w:rPr>
          <w:rFonts w:hint="eastAsia" w:ascii="TimesNewRoman" w:hAnsi="TimesNewRoman" w:eastAsia="仿宋_GB2312" w:cs="TimesNewRoman"/>
          <w:kern w:val="0"/>
          <w:sz w:val="32"/>
          <w:szCs w:val="32"/>
          <w:lang w:val="en-US" w:eastAsia="zh-CN"/>
        </w:rPr>
        <w:t>管理</w:t>
      </w:r>
      <w:r>
        <w:rPr>
          <w:rFonts w:hint="eastAsia" w:ascii="TimesNewRoman" w:hAnsi="TimesNewRoman" w:eastAsia="仿宋_GB2312" w:cs="TimesNewRoman"/>
          <w:kern w:val="0"/>
          <w:sz w:val="32"/>
          <w:szCs w:val="32"/>
        </w:rPr>
        <w:t>（项）2024年预算</w:t>
      </w:r>
      <w:r>
        <w:rPr>
          <w:rFonts w:hint="default" w:ascii="TimesNewRoman" w:hAnsi="TimesNewRoman" w:eastAsia="仿宋_GB2312" w:cs="TimesNewRoman"/>
          <w:kern w:val="0"/>
          <w:sz w:val="32"/>
          <w:szCs w:val="32"/>
          <w:lang w:val="en-US"/>
        </w:rPr>
        <w:t>1929.74</w:t>
      </w:r>
      <w:r>
        <w:rPr>
          <w:rFonts w:hint="eastAsia" w:ascii="TimesNewRoman" w:hAnsi="TimesNewRoman" w:eastAsia="仿宋_GB2312" w:cs="TimesNewRoman"/>
          <w:kern w:val="0"/>
          <w:sz w:val="32"/>
          <w:szCs w:val="32"/>
        </w:rPr>
        <w:t>万元，比2023年预算减少</w:t>
      </w:r>
      <w:r>
        <w:rPr>
          <w:rFonts w:hint="default" w:ascii="TimesNewRoman" w:hAnsi="TimesNewRoman" w:eastAsia="仿宋_GB2312" w:cs="TimesNewRoman"/>
          <w:kern w:val="0"/>
          <w:sz w:val="32"/>
          <w:szCs w:val="32"/>
          <w:lang w:val="en-US"/>
        </w:rPr>
        <w:t>134.77</w:t>
      </w:r>
      <w:r>
        <w:rPr>
          <w:rFonts w:hint="eastAsia" w:ascii="TimesNewRoman" w:hAnsi="TimesNewRoman" w:eastAsia="仿宋_GB2312" w:cs="TimesNewRoman"/>
          <w:kern w:val="0"/>
          <w:sz w:val="32"/>
          <w:szCs w:val="32"/>
        </w:rPr>
        <w:t>万元，下降</w:t>
      </w:r>
      <w:r>
        <w:rPr>
          <w:rFonts w:hint="default" w:ascii="TimesNewRoman" w:hAnsi="TimesNewRoman" w:eastAsia="仿宋_GB2312" w:cs="TimesNewRoman"/>
          <w:kern w:val="0"/>
          <w:sz w:val="32"/>
          <w:szCs w:val="32"/>
          <w:lang w:val="en-US"/>
        </w:rPr>
        <w:t>6.53</w:t>
      </w:r>
      <w:r>
        <w:rPr>
          <w:rFonts w:hint="eastAsia" w:ascii="TimesNewRoman" w:hAnsi="TimesNewRoman" w:eastAsia="仿宋_GB2312" w:cs="TimesNewRoman"/>
          <w:kern w:val="0"/>
          <w:sz w:val="32"/>
          <w:szCs w:val="32"/>
        </w:rPr>
        <w:t>%，原因主要</w:t>
      </w:r>
      <w:r>
        <w:rPr>
          <w:rFonts w:hint="eastAsia" w:ascii="TimesNewRoman" w:hAnsi="TimesNewRoman" w:eastAsia="仿宋_GB2312" w:cs="TimesNewRoman"/>
          <w:kern w:val="0"/>
          <w:sz w:val="32"/>
          <w:szCs w:val="32"/>
          <w:lang w:eastAsia="zh-CN"/>
        </w:rPr>
        <w:t>是</w:t>
      </w:r>
      <w:r>
        <w:rPr>
          <w:rFonts w:hint="eastAsia" w:ascii="仿宋_GB2312" w:eastAsia="仿宋_GB2312"/>
          <w:sz w:val="32"/>
          <w:szCs w:val="32"/>
          <w:highlight w:val="none"/>
          <w:lang w:val="en-US" w:eastAsia="zh-CN"/>
        </w:rPr>
        <w:t>202</w:t>
      </w:r>
      <w:r>
        <w:rPr>
          <w:rFonts w:hint="default" w:ascii="仿宋_GB2312" w:eastAsia="仿宋_GB2312"/>
          <w:sz w:val="32"/>
          <w:szCs w:val="32"/>
          <w:highlight w:val="none"/>
          <w:lang w:val="en-US" w:eastAsia="zh-CN"/>
        </w:rPr>
        <w:t>3</w:t>
      </w:r>
      <w:r>
        <w:rPr>
          <w:rFonts w:hint="eastAsia" w:ascii="仿宋_GB2312" w:eastAsia="仿宋_GB2312"/>
          <w:sz w:val="32"/>
          <w:szCs w:val="32"/>
          <w:highlight w:val="none"/>
          <w:lang w:val="en-US" w:eastAsia="zh-CN"/>
        </w:rPr>
        <w:t>年市中心完成了对两个分中心的移交接收工作，移交接收工作完成后，全市住房公积金实现了统一核算，部门支出减少</w:t>
      </w:r>
      <w:r>
        <w:rPr>
          <w:rFonts w:hint="eastAsia" w:ascii="TimesNewRoman" w:hAnsi="TimesNewRoman" w:eastAsia="仿宋_GB2312" w:cs="TimesNewRoman"/>
          <w:kern w:val="0"/>
          <w:sz w:val="32"/>
          <w:szCs w:val="32"/>
        </w:rPr>
        <w:t>。</w:t>
      </w:r>
    </w:p>
    <w:p>
      <w:pPr>
        <w:pStyle w:val="5"/>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六、关于2024年一般公共预算基本支出表的说明</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w:t>
      </w:r>
      <w:r>
        <w:rPr>
          <w:rFonts w:hint="eastAsia" w:ascii="TimesNewRoman" w:hAnsi="TimesNewRoman" w:eastAsia="仿宋_GB2312" w:cs="TimesNewRoman"/>
          <w:kern w:val="0"/>
          <w:sz w:val="32"/>
          <w:szCs w:val="32"/>
          <w:lang w:val="en-US" w:eastAsia="zh-CN"/>
        </w:rPr>
        <w:t>住房公积金管理中心</w:t>
      </w:r>
      <w:r>
        <w:rPr>
          <w:rFonts w:hint="eastAsia" w:ascii="TimesNewRoman" w:hAnsi="TimesNewRoman" w:eastAsia="仿宋_GB2312" w:cs="TimesNewRoman"/>
          <w:kern w:val="0"/>
          <w:sz w:val="32"/>
          <w:szCs w:val="32"/>
        </w:rPr>
        <w:t>2024年一般公共预算基本支出</w:t>
      </w:r>
      <w:r>
        <w:rPr>
          <w:rFonts w:hint="default" w:ascii="TimesNewRoman" w:hAnsi="TimesNewRoman" w:eastAsia="仿宋_GB2312" w:cs="TimesNewRoman"/>
          <w:kern w:val="0"/>
          <w:sz w:val="32"/>
          <w:szCs w:val="32"/>
          <w:lang w:val="en-US"/>
        </w:rPr>
        <w:t>890.21</w:t>
      </w:r>
      <w:r>
        <w:rPr>
          <w:rFonts w:hint="eastAsia" w:ascii="TimesNewRoman" w:hAnsi="TimesNewRoman" w:eastAsia="仿宋_GB2312" w:cs="TimesNewRoman"/>
          <w:kern w:val="0"/>
          <w:sz w:val="32"/>
          <w:szCs w:val="32"/>
        </w:rPr>
        <w:t>万元，其中，人员经费</w:t>
      </w:r>
      <w:r>
        <w:rPr>
          <w:rFonts w:hint="default" w:ascii="TimesNewRoman" w:hAnsi="TimesNewRoman" w:eastAsia="仿宋_GB2312" w:cs="TimesNewRoman"/>
          <w:kern w:val="0"/>
          <w:sz w:val="32"/>
          <w:szCs w:val="32"/>
          <w:lang w:val="en-US"/>
        </w:rPr>
        <w:t>835.41</w:t>
      </w:r>
      <w:r>
        <w:rPr>
          <w:rFonts w:hint="eastAsia" w:ascii="TimesNewRoman" w:hAnsi="TimesNewRoman" w:eastAsia="仿宋_GB2312" w:cs="TimesNewRoman"/>
          <w:kern w:val="0"/>
          <w:sz w:val="32"/>
          <w:szCs w:val="32"/>
        </w:rPr>
        <w:t>万元，公用经费</w:t>
      </w:r>
      <w:r>
        <w:rPr>
          <w:rFonts w:hint="default" w:ascii="TimesNewRoman" w:hAnsi="TimesNewRoman" w:eastAsia="仿宋_GB2312" w:cs="TimesNewRoman"/>
          <w:kern w:val="0"/>
          <w:sz w:val="32"/>
          <w:szCs w:val="32"/>
          <w:lang w:val="en-US"/>
        </w:rPr>
        <w:t>54.80</w:t>
      </w:r>
      <w:r>
        <w:rPr>
          <w:rFonts w:hint="eastAsia" w:ascii="TimesNewRoman" w:hAnsi="TimesNewRoman" w:eastAsia="仿宋_GB2312" w:cs="TimesNewRoman"/>
          <w:kern w:val="0"/>
          <w:sz w:val="32"/>
          <w:szCs w:val="32"/>
        </w:rPr>
        <w:t>万元。</w:t>
      </w:r>
    </w:p>
    <w:p>
      <w:pPr>
        <w:ind w:firstLine="643" w:firstLineChars="200"/>
        <w:rPr>
          <w:rFonts w:hint="eastAsia" w:ascii="TimesNewRoman" w:hAnsi="TimesNewRoman" w:eastAsia="仿宋_GB2312" w:cs="TimesNewRoman"/>
          <w:kern w:val="0"/>
          <w:sz w:val="32"/>
          <w:szCs w:val="32"/>
          <w:lang w:eastAsia="zh-CN"/>
        </w:rPr>
      </w:pPr>
      <w:r>
        <w:rPr>
          <w:rFonts w:hint="eastAsia" w:ascii="TimesNewRoman" w:hAnsi="TimesNewRoman" w:eastAsia="仿宋_GB2312" w:cs="TimesNewRoman"/>
          <w:b/>
          <w:kern w:val="0"/>
          <w:sz w:val="32"/>
          <w:szCs w:val="32"/>
        </w:rPr>
        <w:t>（一）人员经费</w:t>
      </w:r>
      <w:r>
        <w:rPr>
          <w:rFonts w:hint="default" w:ascii="TimesNewRoman" w:hAnsi="TimesNewRoman" w:eastAsia="仿宋_GB2312" w:cs="TimesNewRoman"/>
          <w:b/>
          <w:kern w:val="0"/>
          <w:sz w:val="32"/>
          <w:szCs w:val="32"/>
          <w:lang w:val="en-US"/>
        </w:rPr>
        <w:t>835.41</w:t>
      </w:r>
      <w:r>
        <w:rPr>
          <w:rFonts w:hint="eastAsia" w:ascii="TimesNewRoman" w:hAnsi="TimesNewRoman" w:eastAsia="仿宋_GB2312" w:cs="TimesNewRoman"/>
          <w:b/>
          <w:kern w:val="0"/>
          <w:sz w:val="32"/>
          <w:szCs w:val="32"/>
        </w:rPr>
        <w:t>万元，</w:t>
      </w:r>
      <w:r>
        <w:rPr>
          <w:rFonts w:hint="eastAsia" w:ascii="TimesNewRoman" w:hAnsi="TimesNewRoman" w:eastAsia="仿宋_GB2312" w:cs="TimesNewRoman"/>
          <w:kern w:val="0"/>
          <w:sz w:val="32"/>
          <w:szCs w:val="32"/>
        </w:rPr>
        <w:t>主要包括:基本工资、津贴补贴、奖金、绩效工资、机关事业单位基本养老保险费、职业年金缴费、职工基本医疗保险缴费、其他社会保障缴费、住房公积金、其他工资福利支出、办公费、工会经费、福利费、其他商品</w:t>
      </w:r>
      <w:r>
        <w:rPr>
          <w:rFonts w:hint="eastAsia" w:ascii="TimesNewRoman" w:hAnsi="TimesNewRoman" w:eastAsia="仿宋_GB2312" w:cs="TimesNewRoman"/>
          <w:kern w:val="0"/>
          <w:sz w:val="32"/>
          <w:szCs w:val="32"/>
          <w:lang w:eastAsia="zh-CN"/>
        </w:rPr>
        <w:t>和</w:t>
      </w:r>
      <w:r>
        <w:rPr>
          <w:rFonts w:hint="eastAsia" w:ascii="TimesNewRoman" w:hAnsi="TimesNewRoman" w:eastAsia="仿宋_GB2312" w:cs="TimesNewRoman"/>
          <w:kern w:val="0"/>
          <w:sz w:val="32"/>
          <w:szCs w:val="32"/>
        </w:rPr>
        <w:t>服务支出</w:t>
      </w:r>
      <w:r>
        <w:rPr>
          <w:rFonts w:hint="eastAsia" w:ascii="TimesNewRoman" w:hAnsi="TimesNewRoman" w:eastAsia="仿宋_GB2312" w:cs="TimesNewRoman"/>
          <w:kern w:val="0"/>
          <w:sz w:val="32"/>
          <w:szCs w:val="32"/>
          <w:lang w:eastAsia="zh-CN"/>
        </w:rPr>
        <w:t>、</w:t>
      </w:r>
      <w:r>
        <w:rPr>
          <w:rFonts w:hint="eastAsia" w:ascii="TimesNewRoman" w:hAnsi="TimesNewRoman" w:eastAsia="仿宋_GB2312" w:cs="TimesNewRoman"/>
          <w:kern w:val="0"/>
          <w:sz w:val="32"/>
          <w:szCs w:val="32"/>
        </w:rPr>
        <w:t>退休费、其他</w:t>
      </w:r>
      <w:r>
        <w:rPr>
          <w:rFonts w:hint="eastAsia" w:ascii="TimesNewRoman" w:hAnsi="TimesNewRoman" w:eastAsia="仿宋_GB2312" w:cs="TimesNewRoman"/>
          <w:kern w:val="0"/>
          <w:sz w:val="32"/>
          <w:szCs w:val="32"/>
          <w:lang w:val="en-US" w:eastAsia="zh-CN"/>
        </w:rPr>
        <w:t>对</w:t>
      </w:r>
      <w:r>
        <w:rPr>
          <w:rFonts w:hint="eastAsia" w:ascii="TimesNewRoman" w:hAnsi="TimesNewRoman" w:eastAsia="仿宋_GB2312" w:cs="TimesNewRoman"/>
          <w:kern w:val="0"/>
          <w:sz w:val="32"/>
          <w:szCs w:val="32"/>
        </w:rPr>
        <w:t>个人和家庭的补助支出</w:t>
      </w:r>
      <w:r>
        <w:rPr>
          <w:rFonts w:hint="eastAsia" w:ascii="TimesNewRoman" w:hAnsi="TimesNewRoman" w:eastAsia="仿宋_GB2312" w:cs="TimesNewRoman"/>
          <w:kern w:val="0"/>
          <w:sz w:val="32"/>
          <w:szCs w:val="32"/>
          <w:lang w:eastAsia="zh-CN"/>
        </w:rPr>
        <w:t>。</w:t>
      </w:r>
    </w:p>
    <w:p>
      <w:pPr>
        <w:ind w:firstLine="643" w:firstLineChars="200"/>
        <w:rPr>
          <w:rFonts w:ascii="TimesNewRoman" w:hAnsi="TimesNewRoman" w:eastAsia="楷体_GB2312" w:cs="TimesNewRoman"/>
          <w:color w:val="FF0000"/>
          <w:sz w:val="32"/>
          <w:szCs w:val="32"/>
        </w:rPr>
      </w:pPr>
      <w:r>
        <w:rPr>
          <w:rFonts w:hint="eastAsia" w:ascii="TimesNewRoman" w:hAnsi="TimesNewRoman" w:eastAsia="仿宋_GB2312" w:cs="TimesNewRoman"/>
          <w:b/>
          <w:kern w:val="0"/>
          <w:sz w:val="32"/>
          <w:szCs w:val="32"/>
        </w:rPr>
        <w:t>（二）公用经费</w:t>
      </w:r>
      <w:r>
        <w:rPr>
          <w:rFonts w:hint="default" w:ascii="TimesNewRoman" w:hAnsi="TimesNewRoman" w:eastAsia="仿宋_GB2312" w:cs="TimesNewRoman"/>
          <w:b/>
          <w:kern w:val="0"/>
          <w:sz w:val="32"/>
          <w:szCs w:val="32"/>
          <w:lang w:val="en-US"/>
        </w:rPr>
        <w:t>54.80</w:t>
      </w:r>
      <w:r>
        <w:rPr>
          <w:rFonts w:hint="eastAsia" w:ascii="TimesNewRoman" w:hAnsi="TimesNewRoman" w:eastAsia="仿宋_GB2312" w:cs="TimesNewRoman"/>
          <w:b/>
          <w:kern w:val="0"/>
          <w:sz w:val="32"/>
          <w:szCs w:val="32"/>
        </w:rPr>
        <w:t>万元，</w:t>
      </w:r>
      <w:r>
        <w:rPr>
          <w:rFonts w:hint="eastAsia" w:ascii="TimesNewRoman" w:hAnsi="TimesNewRoman" w:eastAsia="仿宋_GB2312" w:cs="TimesNewRoman"/>
          <w:kern w:val="0"/>
          <w:sz w:val="32"/>
          <w:szCs w:val="32"/>
        </w:rPr>
        <w:t>主要包括：</w:t>
      </w:r>
      <w:r>
        <w:rPr>
          <w:rFonts w:hint="eastAsia" w:ascii="TimesNewRoman" w:hAnsi="TimesNewRoman" w:eastAsia="仿宋_GB2312" w:cs="TimesNewRoman"/>
          <w:kern w:val="0"/>
          <w:sz w:val="32"/>
          <w:szCs w:val="32"/>
          <w:lang w:val="en-US" w:eastAsia="zh-CN"/>
        </w:rPr>
        <w:t>办公费、</w:t>
      </w:r>
      <w:r>
        <w:rPr>
          <w:rFonts w:hint="eastAsia" w:ascii="TimesNewRoman" w:hAnsi="TimesNewRoman" w:eastAsia="仿宋_GB2312" w:cs="TimesNewRoman"/>
          <w:kern w:val="0"/>
          <w:sz w:val="32"/>
          <w:szCs w:val="32"/>
        </w:rPr>
        <w:t>公务接待费、</w:t>
      </w:r>
      <w:r>
        <w:rPr>
          <w:rFonts w:hint="eastAsia" w:ascii="TimesNewRoman" w:hAnsi="TimesNewRoman" w:eastAsia="仿宋_GB2312" w:cs="TimesNewRoman"/>
          <w:kern w:val="0"/>
          <w:sz w:val="32"/>
          <w:szCs w:val="32"/>
          <w:lang w:val="en-US" w:eastAsia="zh-CN"/>
        </w:rPr>
        <w:t>工会经费、</w:t>
      </w:r>
      <w:r>
        <w:rPr>
          <w:rFonts w:hint="eastAsia" w:ascii="TimesNewRoman" w:hAnsi="TimesNewRoman" w:eastAsia="仿宋_GB2312" w:cs="TimesNewRoman"/>
          <w:kern w:val="0"/>
          <w:sz w:val="32"/>
          <w:szCs w:val="32"/>
        </w:rPr>
        <w:t>公务用车运行维护费、其他交通费用、其他商品服务支出。</w:t>
      </w:r>
    </w:p>
    <w:p>
      <w:pPr>
        <w:pStyle w:val="5"/>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七、关于2024年政府性基金预算支出表的说明</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w:t>
      </w:r>
      <w:r>
        <w:rPr>
          <w:rFonts w:hint="eastAsia" w:ascii="TimesNewRoman" w:hAnsi="TimesNewRoman" w:eastAsia="仿宋_GB2312" w:cs="TimesNewRoman"/>
          <w:kern w:val="0"/>
          <w:sz w:val="32"/>
          <w:szCs w:val="32"/>
          <w:lang w:val="en-US" w:eastAsia="zh-CN"/>
        </w:rPr>
        <w:t>住房公积金管理中心</w:t>
      </w:r>
      <w:r>
        <w:rPr>
          <w:rFonts w:hint="eastAsia" w:ascii="TimesNewRoman" w:hAnsi="TimesNewRoman" w:eastAsia="仿宋_GB2312" w:cs="TimesNewRoman"/>
          <w:kern w:val="0"/>
          <w:sz w:val="32"/>
          <w:szCs w:val="32"/>
        </w:rPr>
        <w:t>2024年没有政府性基金预算拨款收入，也没有使用政府性基金预算拨款安排的支出。</w:t>
      </w:r>
    </w:p>
    <w:p>
      <w:pPr>
        <w:pStyle w:val="5"/>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八、关于2024年国有资本经营预算支出表的说明</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w:t>
      </w:r>
      <w:r>
        <w:rPr>
          <w:rFonts w:hint="eastAsia" w:ascii="TimesNewRoman" w:hAnsi="TimesNewRoman" w:eastAsia="仿宋_GB2312" w:cs="TimesNewRoman"/>
          <w:kern w:val="0"/>
          <w:sz w:val="32"/>
          <w:szCs w:val="32"/>
          <w:lang w:val="en-US" w:eastAsia="zh-CN"/>
        </w:rPr>
        <w:t>住房公积金管理中心</w:t>
      </w:r>
      <w:r>
        <w:rPr>
          <w:rFonts w:hint="eastAsia" w:ascii="TimesNewRoman" w:hAnsi="TimesNewRoman" w:eastAsia="仿宋_GB2312" w:cs="TimesNewRoman"/>
          <w:kern w:val="0"/>
          <w:sz w:val="32"/>
          <w:szCs w:val="32"/>
        </w:rPr>
        <w:t>2024年没有国有资本经营预算拨款收入，也没有使用国有资本经营预算拨款安排的支出。</w:t>
      </w:r>
    </w:p>
    <w:p>
      <w:pPr>
        <w:pStyle w:val="5"/>
        <w:adjustRightInd w:val="0"/>
        <w:snapToGrid w:val="0"/>
        <w:spacing w:line="560" w:lineRule="exact"/>
        <w:ind w:firstLine="627" w:firstLineChars="196"/>
        <w:rPr>
          <w:rFonts w:ascii="TimesNewRoman" w:hAnsi="TimesNewRoman" w:eastAsia="楷体_GB2312" w:cs="TimesNewRoman"/>
          <w:color w:val="FF0000"/>
          <w:sz w:val="32"/>
          <w:szCs w:val="32"/>
        </w:rPr>
      </w:pPr>
      <w:r>
        <w:rPr>
          <w:rFonts w:hint="eastAsia" w:ascii="TimesNewRoman" w:hAnsi="TimesNewRoman" w:eastAsia="黑体" w:cs="TimesNewRoman"/>
          <w:bCs/>
          <w:sz w:val="32"/>
          <w:szCs w:val="32"/>
        </w:rPr>
        <w:t>九、关于2024年项目支出表的说明</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w:t>
      </w:r>
      <w:r>
        <w:rPr>
          <w:rFonts w:hint="eastAsia" w:ascii="TimesNewRoman" w:hAnsi="TimesNewRoman" w:eastAsia="仿宋_GB2312" w:cs="TimesNewRoman"/>
          <w:kern w:val="0"/>
          <w:sz w:val="32"/>
          <w:szCs w:val="32"/>
          <w:lang w:val="en-US" w:eastAsia="zh-CN"/>
        </w:rPr>
        <w:t>住房公积金管理中心</w:t>
      </w:r>
      <w:r>
        <w:rPr>
          <w:rFonts w:hint="eastAsia" w:ascii="TimesNewRoman" w:hAnsi="TimesNewRoman" w:eastAsia="仿宋_GB2312" w:cs="TimesNewRoman"/>
          <w:kern w:val="0"/>
          <w:sz w:val="32"/>
          <w:szCs w:val="32"/>
        </w:rPr>
        <w:t>2024年预算共安排项目支出</w:t>
      </w:r>
      <w:r>
        <w:rPr>
          <w:rFonts w:hint="default" w:ascii="TimesNewRoman" w:hAnsi="TimesNewRoman" w:eastAsia="仿宋_GB2312" w:cs="TimesNewRoman"/>
          <w:kern w:val="0"/>
          <w:sz w:val="32"/>
          <w:szCs w:val="32"/>
          <w:lang w:val="en-US"/>
        </w:rPr>
        <w:t>1181.81</w:t>
      </w:r>
      <w:r>
        <w:rPr>
          <w:rFonts w:hint="eastAsia" w:ascii="TimesNewRoman" w:hAnsi="TimesNewRoman" w:eastAsia="仿宋_GB2312" w:cs="TimesNewRoman"/>
          <w:kern w:val="0"/>
          <w:sz w:val="32"/>
          <w:szCs w:val="32"/>
        </w:rPr>
        <w:t>万元，比2023年预算减少</w:t>
      </w:r>
      <w:r>
        <w:rPr>
          <w:rFonts w:hint="default" w:ascii="TimesNewRoman" w:hAnsi="TimesNewRoman" w:eastAsia="仿宋_GB2312" w:cs="TimesNewRoman"/>
          <w:kern w:val="0"/>
          <w:sz w:val="32"/>
          <w:szCs w:val="32"/>
          <w:lang w:val="en-US"/>
        </w:rPr>
        <w:t>425.38</w:t>
      </w:r>
      <w:r>
        <w:rPr>
          <w:rFonts w:hint="eastAsia" w:ascii="TimesNewRoman" w:hAnsi="TimesNewRoman" w:eastAsia="仿宋_GB2312" w:cs="TimesNewRoman"/>
          <w:kern w:val="0"/>
          <w:sz w:val="32"/>
          <w:szCs w:val="32"/>
        </w:rPr>
        <w:t>万元，下降</w:t>
      </w:r>
      <w:r>
        <w:rPr>
          <w:rFonts w:hint="default" w:ascii="TimesNewRoman" w:hAnsi="TimesNewRoman" w:eastAsia="仿宋_GB2312" w:cs="TimesNewRoman"/>
          <w:kern w:val="0"/>
          <w:sz w:val="32"/>
          <w:szCs w:val="32"/>
          <w:lang w:val="en-US"/>
        </w:rPr>
        <w:t>26.47</w:t>
      </w:r>
      <w:r>
        <w:rPr>
          <w:rFonts w:hint="eastAsia" w:ascii="TimesNewRoman" w:hAnsi="TimesNewRoman" w:eastAsia="仿宋_GB2312" w:cs="TimesNewRoman"/>
          <w:kern w:val="0"/>
          <w:sz w:val="32"/>
          <w:szCs w:val="32"/>
        </w:rPr>
        <w:t>%，原因主要</w:t>
      </w:r>
      <w:r>
        <w:rPr>
          <w:rFonts w:hint="eastAsia" w:ascii="TimesNewRoman" w:hAnsi="TimesNewRoman" w:eastAsia="仿宋_GB2312" w:cs="TimesNewRoman"/>
          <w:kern w:val="0"/>
          <w:sz w:val="32"/>
          <w:szCs w:val="32"/>
          <w:lang w:eastAsia="zh-CN"/>
        </w:rPr>
        <w:t>是</w:t>
      </w:r>
      <w:r>
        <w:rPr>
          <w:rFonts w:hint="eastAsia" w:ascii="TimesNewRoman" w:hAnsi="TimesNewRoman" w:eastAsia="仿宋_GB2312" w:cs="TimesNewRoman"/>
          <w:kern w:val="0"/>
          <w:sz w:val="32"/>
          <w:szCs w:val="32"/>
          <w:lang w:val="en-US" w:eastAsia="zh-CN"/>
        </w:rPr>
        <w:t>淮矿、皖北分中心归并后</w:t>
      </w:r>
      <w:r>
        <w:rPr>
          <w:rFonts w:hint="eastAsia" w:ascii="仿宋_GB2312" w:eastAsia="仿宋_GB2312"/>
          <w:sz w:val="32"/>
          <w:szCs w:val="32"/>
          <w:highlight w:val="none"/>
          <w:lang w:val="en-US" w:eastAsia="zh-CN"/>
        </w:rPr>
        <w:t>，项目支出减少</w:t>
      </w:r>
      <w:r>
        <w:rPr>
          <w:rFonts w:hint="eastAsia" w:ascii="TimesNewRoman" w:hAnsi="TimesNewRoman" w:eastAsia="仿宋_GB2312" w:cs="TimesNewRoman"/>
          <w:kern w:val="0"/>
          <w:sz w:val="32"/>
          <w:szCs w:val="32"/>
        </w:rPr>
        <w:t>。主要包括：本年财政拨款安排</w:t>
      </w:r>
      <w:r>
        <w:rPr>
          <w:rFonts w:hint="default" w:ascii="TimesNewRoman" w:hAnsi="TimesNewRoman" w:eastAsia="仿宋_GB2312" w:cs="TimesNewRoman"/>
          <w:kern w:val="0"/>
          <w:sz w:val="32"/>
          <w:szCs w:val="32"/>
          <w:lang w:val="en-US"/>
        </w:rPr>
        <w:t>1181.81</w:t>
      </w:r>
      <w:r>
        <w:rPr>
          <w:rFonts w:hint="eastAsia" w:ascii="TimesNewRoman" w:hAnsi="TimesNewRoman" w:eastAsia="仿宋_GB2312" w:cs="TimesNewRoman"/>
          <w:kern w:val="0"/>
          <w:sz w:val="32"/>
          <w:szCs w:val="32"/>
        </w:rPr>
        <w:t>万元（其中，一般公共预算拨款安排</w:t>
      </w:r>
      <w:r>
        <w:rPr>
          <w:rFonts w:hint="default" w:ascii="TimesNewRoman" w:hAnsi="TimesNewRoman" w:eastAsia="仿宋_GB2312" w:cs="TimesNewRoman"/>
          <w:kern w:val="0"/>
          <w:sz w:val="32"/>
          <w:szCs w:val="32"/>
          <w:lang w:val="en-US"/>
        </w:rPr>
        <w:t>1181.81</w:t>
      </w:r>
      <w:r>
        <w:rPr>
          <w:rFonts w:hint="eastAsia" w:ascii="TimesNewRoman" w:hAnsi="TimesNewRoman" w:eastAsia="仿宋_GB2312" w:cs="TimesNewRoman"/>
          <w:kern w:val="0"/>
          <w:sz w:val="32"/>
          <w:szCs w:val="32"/>
        </w:rPr>
        <w:t>万元，政府性基金预算拨款安排</w:t>
      </w:r>
      <w:r>
        <w:rPr>
          <w:rFonts w:hint="default" w:ascii="TimesNewRoman" w:hAnsi="TimesNewRoman" w:eastAsia="仿宋_GB2312" w:cs="TimesNewRoman"/>
          <w:kern w:val="0"/>
          <w:sz w:val="32"/>
          <w:szCs w:val="32"/>
          <w:lang w:val="en-US"/>
        </w:rPr>
        <w:t>0</w:t>
      </w:r>
      <w:r>
        <w:rPr>
          <w:rFonts w:hint="eastAsia" w:ascii="TimesNewRoman" w:hAnsi="TimesNewRoman" w:eastAsia="仿宋_GB2312" w:cs="TimesNewRoman"/>
          <w:kern w:val="0"/>
          <w:sz w:val="32"/>
          <w:szCs w:val="32"/>
        </w:rPr>
        <w:t>万元），财政专户管理资金安排</w:t>
      </w:r>
      <w:r>
        <w:rPr>
          <w:rFonts w:hint="default" w:ascii="TimesNewRoman" w:hAnsi="TimesNewRoman" w:eastAsia="仿宋_GB2312" w:cs="TimesNewRoman"/>
          <w:kern w:val="0"/>
          <w:sz w:val="32"/>
          <w:szCs w:val="32"/>
          <w:lang w:val="en-US"/>
        </w:rPr>
        <w:t>0</w:t>
      </w:r>
      <w:r>
        <w:rPr>
          <w:rFonts w:hint="eastAsia" w:ascii="TimesNewRoman" w:hAnsi="TimesNewRoman" w:eastAsia="仿宋_GB2312" w:cs="TimesNewRoman"/>
          <w:kern w:val="0"/>
          <w:sz w:val="32"/>
          <w:szCs w:val="32"/>
        </w:rPr>
        <w:t>万元。</w:t>
      </w:r>
    </w:p>
    <w:p>
      <w:pPr>
        <w:pStyle w:val="5"/>
        <w:adjustRightInd w:val="0"/>
        <w:snapToGrid w:val="0"/>
        <w:spacing w:line="560" w:lineRule="exact"/>
        <w:ind w:firstLine="627" w:firstLineChars="196"/>
        <w:rPr>
          <w:rFonts w:ascii="TimesNewRoman" w:hAnsi="TimesNewRoman" w:eastAsia="楷体_GB2312" w:cs="TimesNewRoman"/>
          <w:color w:val="FF0000"/>
          <w:sz w:val="32"/>
          <w:szCs w:val="32"/>
        </w:rPr>
      </w:pPr>
      <w:r>
        <w:rPr>
          <w:rFonts w:hint="eastAsia" w:ascii="TimesNewRoman" w:hAnsi="TimesNewRoman" w:eastAsia="黑体" w:cs="TimesNewRoman"/>
          <w:bCs/>
          <w:sz w:val="32"/>
          <w:szCs w:val="32"/>
        </w:rPr>
        <w:t>十、关于2024年政府采购支出表的说明</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w:t>
      </w:r>
      <w:r>
        <w:rPr>
          <w:rFonts w:hint="eastAsia" w:ascii="TimesNewRoman" w:hAnsi="TimesNewRoman" w:eastAsia="仿宋_GB2312" w:cs="TimesNewRoman"/>
          <w:kern w:val="0"/>
          <w:sz w:val="32"/>
          <w:szCs w:val="32"/>
          <w:lang w:val="en-US" w:eastAsia="zh-CN"/>
        </w:rPr>
        <w:t>住房公积金管理中心</w:t>
      </w:r>
      <w:r>
        <w:rPr>
          <w:rFonts w:hint="eastAsia" w:ascii="TimesNewRoman" w:hAnsi="TimesNewRoman" w:eastAsia="仿宋_GB2312" w:cs="TimesNewRoman"/>
          <w:kern w:val="0"/>
          <w:sz w:val="32"/>
          <w:szCs w:val="32"/>
        </w:rPr>
        <w:t>2024年预算安排政府采购支出</w:t>
      </w:r>
      <w:r>
        <w:rPr>
          <w:rFonts w:hint="default" w:ascii="TimesNewRoman" w:hAnsi="TimesNewRoman" w:eastAsia="仿宋_GB2312" w:cs="TimesNewRoman"/>
          <w:kern w:val="0"/>
          <w:sz w:val="32"/>
          <w:szCs w:val="32"/>
          <w:lang w:val="en-US"/>
        </w:rPr>
        <w:t>175.00</w:t>
      </w:r>
      <w:r>
        <w:rPr>
          <w:rFonts w:hint="eastAsia" w:ascii="TimesNewRoman" w:hAnsi="TimesNewRoman" w:eastAsia="仿宋_GB2312" w:cs="TimesNewRoman"/>
          <w:kern w:val="0"/>
          <w:sz w:val="32"/>
          <w:szCs w:val="32"/>
        </w:rPr>
        <w:t>万元，比2023年预算</w:t>
      </w:r>
      <w:r>
        <w:rPr>
          <w:rFonts w:hint="eastAsia" w:ascii="TimesNewRoman" w:hAnsi="TimesNewRoman" w:eastAsia="仿宋_GB2312" w:cs="TimesNewRoman"/>
          <w:kern w:val="0"/>
          <w:sz w:val="32"/>
          <w:szCs w:val="32"/>
          <w:lang w:val="en-US" w:eastAsia="zh-CN"/>
        </w:rPr>
        <w:t>减少</w:t>
      </w:r>
      <w:r>
        <w:rPr>
          <w:rFonts w:hint="default" w:ascii="TimesNewRoman" w:hAnsi="TimesNewRoman" w:eastAsia="仿宋_GB2312" w:cs="TimesNewRoman"/>
          <w:kern w:val="0"/>
          <w:sz w:val="32"/>
          <w:szCs w:val="32"/>
          <w:lang w:val="en-US"/>
        </w:rPr>
        <w:t>152.95</w:t>
      </w:r>
      <w:r>
        <w:rPr>
          <w:rFonts w:hint="eastAsia" w:ascii="TimesNewRoman" w:hAnsi="TimesNewRoman" w:eastAsia="仿宋_GB2312" w:cs="TimesNewRoman"/>
          <w:kern w:val="0"/>
          <w:sz w:val="32"/>
          <w:szCs w:val="32"/>
        </w:rPr>
        <w:t>万元，</w:t>
      </w:r>
      <w:r>
        <w:rPr>
          <w:rFonts w:hint="eastAsia" w:ascii="TimesNewRoman" w:hAnsi="TimesNewRoman" w:eastAsia="仿宋_GB2312" w:cs="TimesNewRoman"/>
          <w:kern w:val="0"/>
          <w:sz w:val="32"/>
          <w:szCs w:val="32"/>
          <w:lang w:val="en-US" w:eastAsia="zh-CN"/>
        </w:rPr>
        <w:t>下降</w:t>
      </w:r>
      <w:r>
        <w:rPr>
          <w:rFonts w:hint="default" w:ascii="TimesNewRoman" w:hAnsi="TimesNewRoman" w:eastAsia="仿宋_GB2312" w:cs="TimesNewRoman"/>
          <w:kern w:val="0"/>
          <w:sz w:val="32"/>
          <w:szCs w:val="32"/>
          <w:lang w:val="en-US" w:eastAsia="zh-CN"/>
        </w:rPr>
        <w:t>46.64</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val="en-US" w:eastAsia="zh-CN"/>
        </w:rPr>
        <w:t>采购项目减少</w:t>
      </w:r>
      <w:r>
        <w:rPr>
          <w:rFonts w:hint="eastAsia" w:ascii="TimesNewRoman" w:hAnsi="TimesNewRoman" w:eastAsia="仿宋_GB2312" w:cs="TimesNewRoman"/>
          <w:kern w:val="0"/>
          <w:sz w:val="32"/>
          <w:szCs w:val="32"/>
        </w:rPr>
        <w:t>。其中，一般公共预算安排</w:t>
      </w:r>
      <w:r>
        <w:rPr>
          <w:rFonts w:hint="default" w:ascii="TimesNewRoman" w:hAnsi="TimesNewRoman" w:eastAsia="仿宋_GB2312" w:cs="TimesNewRoman"/>
          <w:kern w:val="0"/>
          <w:sz w:val="32"/>
          <w:szCs w:val="32"/>
          <w:lang w:val="en-US"/>
        </w:rPr>
        <w:t>175.00</w:t>
      </w:r>
      <w:r>
        <w:rPr>
          <w:rFonts w:hint="eastAsia" w:ascii="TimesNewRoman" w:hAnsi="TimesNewRoman" w:eastAsia="仿宋_GB2312" w:cs="TimesNewRoman"/>
          <w:kern w:val="0"/>
          <w:sz w:val="32"/>
          <w:szCs w:val="32"/>
        </w:rPr>
        <w:t>万元，占</w:t>
      </w:r>
      <w:r>
        <w:rPr>
          <w:rFonts w:hint="default" w:ascii="TimesNewRoman" w:hAnsi="TimesNewRoman" w:eastAsia="仿宋_GB2312" w:cs="TimesNewRoman"/>
          <w:kern w:val="0"/>
          <w:sz w:val="32"/>
          <w:szCs w:val="32"/>
          <w:lang w:val="en-US"/>
        </w:rPr>
        <w:t>100</w:t>
      </w:r>
      <w:r>
        <w:rPr>
          <w:rFonts w:hint="eastAsia" w:ascii="TimesNewRoman" w:hAnsi="TimesNewRoman" w:eastAsia="仿宋_GB2312" w:cs="TimesNewRoman"/>
          <w:kern w:val="0"/>
          <w:sz w:val="32"/>
          <w:szCs w:val="32"/>
        </w:rPr>
        <w:t>%；政府性基金预算安排</w:t>
      </w:r>
      <w:r>
        <w:rPr>
          <w:rFonts w:hint="default" w:ascii="TimesNewRoman" w:hAnsi="TimesNewRoman" w:eastAsia="仿宋_GB2312" w:cs="TimesNewRoman"/>
          <w:kern w:val="0"/>
          <w:sz w:val="32"/>
          <w:szCs w:val="32"/>
          <w:lang w:val="en-US"/>
        </w:rPr>
        <w:t>0</w:t>
      </w:r>
      <w:r>
        <w:rPr>
          <w:rFonts w:hint="eastAsia" w:ascii="TimesNewRoman" w:hAnsi="TimesNewRoman" w:eastAsia="仿宋_GB2312" w:cs="TimesNewRoman"/>
          <w:kern w:val="0"/>
          <w:sz w:val="32"/>
          <w:szCs w:val="32"/>
        </w:rPr>
        <w:t>万元，占</w:t>
      </w:r>
      <w:r>
        <w:rPr>
          <w:rFonts w:hint="default" w:ascii="TimesNewRoman" w:hAnsi="TimesNewRoman" w:eastAsia="仿宋_GB2312" w:cs="TimesNewRoman"/>
          <w:kern w:val="0"/>
          <w:sz w:val="32"/>
          <w:szCs w:val="32"/>
          <w:lang w:val="en-US"/>
        </w:rPr>
        <w:t>0</w:t>
      </w:r>
      <w:r>
        <w:rPr>
          <w:rFonts w:hint="eastAsia" w:ascii="TimesNewRoman" w:hAnsi="TimesNewRoman" w:eastAsia="仿宋_GB2312" w:cs="TimesNewRoman"/>
          <w:kern w:val="0"/>
          <w:sz w:val="32"/>
          <w:szCs w:val="32"/>
        </w:rPr>
        <w:t>%；财政专户管理资金安排</w:t>
      </w:r>
      <w:r>
        <w:rPr>
          <w:rFonts w:hint="default" w:ascii="TimesNewRoman" w:hAnsi="TimesNewRoman" w:eastAsia="仿宋_GB2312" w:cs="TimesNewRoman"/>
          <w:kern w:val="0"/>
          <w:sz w:val="32"/>
          <w:szCs w:val="32"/>
          <w:lang w:val="en-US"/>
        </w:rPr>
        <w:t>0</w:t>
      </w:r>
      <w:r>
        <w:rPr>
          <w:rFonts w:hint="eastAsia" w:ascii="TimesNewRoman" w:hAnsi="TimesNewRoman" w:eastAsia="仿宋_GB2312" w:cs="TimesNewRoman"/>
          <w:kern w:val="0"/>
          <w:sz w:val="32"/>
          <w:szCs w:val="32"/>
        </w:rPr>
        <w:t>万元，占</w:t>
      </w:r>
      <w:r>
        <w:rPr>
          <w:rFonts w:hint="default" w:ascii="TimesNewRoman" w:hAnsi="TimesNewRoman" w:eastAsia="仿宋_GB2312" w:cs="TimesNewRoman"/>
          <w:kern w:val="0"/>
          <w:sz w:val="32"/>
          <w:szCs w:val="32"/>
          <w:lang w:val="en-US"/>
        </w:rPr>
        <w:t>0</w:t>
      </w:r>
      <w:r>
        <w:rPr>
          <w:rFonts w:hint="eastAsia" w:ascii="TimesNewRoman" w:hAnsi="TimesNewRoman" w:eastAsia="仿宋_GB2312" w:cs="TimesNewRoman"/>
          <w:kern w:val="0"/>
          <w:sz w:val="32"/>
          <w:szCs w:val="32"/>
        </w:rPr>
        <w:t>%。</w:t>
      </w:r>
    </w:p>
    <w:p>
      <w:pPr>
        <w:pStyle w:val="5"/>
        <w:adjustRightInd w:val="0"/>
        <w:snapToGrid w:val="0"/>
        <w:spacing w:line="560" w:lineRule="exact"/>
        <w:ind w:firstLine="627" w:firstLineChars="196"/>
        <w:rPr>
          <w:rFonts w:ascii="TimesNewRoman" w:hAnsi="TimesNewRoman" w:eastAsia="楷体_GB2312" w:cs="TimesNewRoman"/>
          <w:color w:val="FF0000"/>
          <w:sz w:val="32"/>
          <w:szCs w:val="32"/>
        </w:rPr>
      </w:pPr>
      <w:r>
        <w:rPr>
          <w:rFonts w:hint="eastAsia" w:ascii="TimesNewRoman" w:hAnsi="TimesNewRoman" w:eastAsia="黑体" w:cs="TimesNewRoman"/>
          <w:bCs/>
          <w:sz w:val="32"/>
          <w:szCs w:val="32"/>
        </w:rPr>
        <w:t>十一、关于2024年政府购买服务支出表的说明</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w:t>
      </w:r>
      <w:r>
        <w:rPr>
          <w:rFonts w:hint="eastAsia" w:ascii="TimesNewRoman" w:hAnsi="TimesNewRoman" w:eastAsia="仿宋_GB2312" w:cs="TimesNewRoman"/>
          <w:kern w:val="0"/>
          <w:sz w:val="32"/>
          <w:szCs w:val="32"/>
          <w:lang w:val="en-US" w:eastAsia="zh-CN"/>
        </w:rPr>
        <w:t>住房公积金管理中心</w:t>
      </w:r>
      <w:r>
        <w:rPr>
          <w:rFonts w:hint="eastAsia" w:ascii="TimesNewRoman" w:hAnsi="TimesNewRoman" w:eastAsia="仿宋_GB2312" w:cs="TimesNewRoman"/>
          <w:kern w:val="0"/>
          <w:sz w:val="32"/>
          <w:szCs w:val="32"/>
        </w:rPr>
        <w:t>2024年没有安排政府购买服务支出。</w:t>
      </w:r>
    </w:p>
    <w:p>
      <w:pPr>
        <w:pStyle w:val="5"/>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十二、其他重要事项情况说明</w:t>
      </w:r>
    </w:p>
    <w:p>
      <w:pPr>
        <w:adjustRightInd w:val="0"/>
        <w:snapToGrid w:val="0"/>
        <w:spacing w:line="580" w:lineRule="exact"/>
        <w:ind w:firstLine="643" w:firstLineChars="200"/>
        <w:rPr>
          <w:rFonts w:ascii="TimesNewRoman" w:hAnsi="TimesNewRoman" w:eastAsia="仿宋_GB2312" w:cs="TimesNewRoman"/>
          <w:b/>
          <w:sz w:val="32"/>
          <w:szCs w:val="32"/>
        </w:rPr>
      </w:pPr>
      <w:r>
        <w:rPr>
          <w:rFonts w:hint="eastAsia" w:ascii="TimesNewRoman" w:hAnsi="TimesNewRoman" w:eastAsia="仿宋_GB2312" w:cs="TimesNewRoman"/>
          <w:b/>
          <w:sz w:val="32"/>
          <w:szCs w:val="32"/>
        </w:rPr>
        <w:t>（一）项目及绩效目标情况。</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1、“</w:t>
      </w:r>
      <w:r>
        <w:rPr>
          <w:rFonts w:hint="eastAsia" w:ascii="TimesNewRoman" w:hAnsi="TimesNewRoman" w:eastAsia="仿宋_GB2312" w:cs="TimesNewRoman"/>
          <w:kern w:val="0"/>
          <w:sz w:val="32"/>
          <w:szCs w:val="32"/>
          <w:lang w:val="en-US" w:eastAsia="zh-CN"/>
        </w:rPr>
        <w:t>工作运行经费</w:t>
      </w:r>
      <w:r>
        <w:rPr>
          <w:rFonts w:hint="eastAsia" w:ascii="TimesNewRoman" w:hAnsi="TimesNewRoman" w:eastAsia="仿宋_GB2312" w:cs="TimesNewRoman"/>
          <w:kern w:val="0"/>
          <w:sz w:val="32"/>
          <w:szCs w:val="32"/>
        </w:rPr>
        <w:t>”项目。</w:t>
      </w:r>
    </w:p>
    <w:p>
      <w:pPr>
        <w:ind w:firstLine="640" w:firstLineChars="200"/>
        <w:rPr>
          <w:rFonts w:hint="default" w:ascii="TimesNewRoman" w:hAnsi="TimesNewRoman" w:eastAsia="仿宋_GB2312" w:cs="TimesNewRoman"/>
          <w:kern w:val="0"/>
          <w:sz w:val="32"/>
          <w:szCs w:val="32"/>
          <w:lang w:val="en-US" w:eastAsia="zh-CN"/>
        </w:rPr>
      </w:pPr>
      <w:r>
        <w:rPr>
          <w:rFonts w:hint="eastAsia" w:ascii="TimesNewRoman" w:hAnsi="TimesNewRoman" w:eastAsia="仿宋_GB2312" w:cs="TimesNewRoman"/>
          <w:kern w:val="0"/>
          <w:sz w:val="32"/>
          <w:szCs w:val="32"/>
        </w:rPr>
        <w:t>（1）项目概述。</w:t>
      </w:r>
      <w:r>
        <w:rPr>
          <w:rFonts w:hint="eastAsia" w:ascii="仿宋" w:hAnsi="仿宋" w:eastAsia="仿宋" w:cs="仿宋"/>
          <w:sz w:val="32"/>
          <w:szCs w:val="32"/>
        </w:rPr>
        <w:t>为</w:t>
      </w:r>
      <w:r>
        <w:rPr>
          <w:rFonts w:hint="eastAsia" w:ascii="仿宋" w:hAnsi="仿宋" w:eastAsia="仿宋" w:cs="仿宋"/>
          <w:sz w:val="32"/>
          <w:szCs w:val="32"/>
          <w:lang w:eastAsia="zh-CN"/>
        </w:rPr>
        <w:t>保障</w:t>
      </w:r>
      <w:r>
        <w:rPr>
          <w:rFonts w:hint="eastAsia" w:ascii="仿宋" w:hAnsi="仿宋" w:eastAsia="仿宋" w:cs="仿宋"/>
          <w:sz w:val="32"/>
          <w:szCs w:val="32"/>
          <w:lang w:val="en-US" w:eastAsia="zh-CN"/>
        </w:rPr>
        <w:t>市</w:t>
      </w:r>
      <w:r>
        <w:rPr>
          <w:rFonts w:hint="eastAsia" w:ascii="仿宋" w:hAnsi="仿宋" w:eastAsia="仿宋" w:cs="仿宋"/>
          <w:sz w:val="32"/>
          <w:szCs w:val="32"/>
          <w:lang w:eastAsia="zh-CN"/>
        </w:rPr>
        <w:t>公积金中心正常开展工作，</w:t>
      </w:r>
      <w:r>
        <w:rPr>
          <w:rFonts w:hint="eastAsia" w:ascii="仿宋" w:hAnsi="仿宋" w:eastAsia="仿宋" w:cs="仿宋"/>
          <w:sz w:val="32"/>
          <w:szCs w:val="32"/>
          <w:lang w:val="en-US" w:eastAsia="zh-CN"/>
        </w:rPr>
        <w:t>预算劳务、办公、差旅、印刷、会议、邮电等相关支出项目。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 w:hAnsi="仿宋" w:eastAsia="仿宋" w:cs="仿宋"/>
          <w:sz w:val="32"/>
          <w:szCs w:val="32"/>
        </w:rPr>
      </w:pPr>
      <w:r>
        <w:rPr>
          <w:rFonts w:hint="eastAsia" w:ascii="TimesNewRoman" w:hAnsi="TimesNewRoman" w:eastAsia="仿宋_GB2312" w:cs="TimesNewRoman"/>
          <w:kern w:val="0"/>
          <w:sz w:val="32"/>
          <w:szCs w:val="32"/>
        </w:rPr>
        <w:t>（2）立项依据。</w:t>
      </w:r>
      <w:r>
        <w:rPr>
          <w:rFonts w:hint="eastAsia" w:ascii="仿宋" w:hAnsi="仿宋" w:eastAsia="仿宋" w:cs="仿宋"/>
          <w:sz w:val="32"/>
          <w:szCs w:val="32"/>
          <w:lang w:eastAsia="zh-CN"/>
        </w:rPr>
        <w:t>按规定</w:t>
      </w:r>
      <w:r>
        <w:rPr>
          <w:rFonts w:hint="eastAsia" w:ascii="仿宋" w:hAnsi="仿宋" w:eastAsia="仿宋" w:cs="仿宋"/>
          <w:sz w:val="32"/>
          <w:szCs w:val="32"/>
          <w:lang w:val="en-US" w:eastAsia="zh-CN"/>
        </w:rPr>
        <w:t>编制2024年度工作运行经费</w:t>
      </w:r>
      <w:r>
        <w:rPr>
          <w:rFonts w:hint="eastAsia" w:ascii="仿宋" w:hAnsi="仿宋" w:eastAsia="仿宋" w:cs="仿宋"/>
          <w:sz w:val="32"/>
          <w:szCs w:val="32"/>
          <w:lang w:eastAsia="zh-CN"/>
        </w:rPr>
        <w:t>预算</w:t>
      </w:r>
      <w:r>
        <w:rPr>
          <w:rFonts w:hint="eastAsia" w:ascii="仿宋" w:hAnsi="仿宋" w:eastAsia="仿宋" w:cs="仿宋"/>
          <w:sz w:val="32"/>
          <w:szCs w:val="32"/>
          <w:lang w:val="en-US" w:eastAsia="zh-CN"/>
        </w:rPr>
        <w:t>，保障日常工作正常开展</w:t>
      </w:r>
      <w:r>
        <w:rPr>
          <w:rFonts w:hint="eastAsia" w:ascii="仿宋" w:hAnsi="仿宋" w:eastAsia="仿宋" w:cs="仿宋"/>
          <w:sz w:val="32"/>
          <w:szCs w:val="32"/>
        </w:rPr>
        <w:t>。</w:t>
      </w:r>
    </w:p>
    <w:p>
      <w:pPr>
        <w:ind w:firstLine="640" w:firstLineChars="200"/>
        <w:rPr>
          <w:rFonts w:ascii="TimesNewRoman" w:hAnsi="TimesNewRoman" w:eastAsia="仿宋_GB2312" w:cs="TimesNewRoman"/>
          <w:kern w:val="0"/>
          <w:sz w:val="32"/>
          <w:szCs w:val="32"/>
        </w:rPr>
      </w:pPr>
    </w:p>
    <w:p>
      <w:pPr>
        <w:ind w:firstLine="640" w:firstLineChars="200"/>
        <w:rPr>
          <w:rFonts w:hint="default" w:ascii="TimesNewRoman" w:hAnsi="TimesNewRoman" w:eastAsia="仿宋_GB2312" w:cs="TimesNewRoman"/>
          <w:kern w:val="0"/>
          <w:sz w:val="32"/>
          <w:szCs w:val="32"/>
          <w:lang w:val="en-US" w:eastAsia="zh-CN"/>
        </w:rPr>
      </w:pPr>
      <w:r>
        <w:rPr>
          <w:rFonts w:hint="eastAsia" w:ascii="TimesNewRoman" w:hAnsi="TimesNewRoman" w:eastAsia="仿宋_GB2312" w:cs="TimesNewRoman"/>
          <w:kern w:val="0"/>
          <w:sz w:val="32"/>
          <w:szCs w:val="32"/>
        </w:rPr>
        <w:t>（3）实施主体</w:t>
      </w:r>
      <w:r>
        <w:rPr>
          <w:rFonts w:hint="eastAsia" w:ascii="TimesNewRoman" w:hAnsi="TimesNewRoman" w:eastAsia="仿宋_GB2312" w:cs="TimesNewRoman"/>
          <w:kern w:val="0"/>
          <w:sz w:val="32"/>
          <w:szCs w:val="32"/>
          <w:lang w:eastAsia="zh-CN"/>
        </w:rPr>
        <w:t>：</w:t>
      </w:r>
      <w:r>
        <w:rPr>
          <w:rFonts w:hint="eastAsia" w:ascii="TimesNewRoman" w:hAnsi="TimesNewRoman" w:eastAsia="仿宋_GB2312" w:cs="TimesNewRoman"/>
          <w:kern w:val="0"/>
          <w:sz w:val="32"/>
          <w:szCs w:val="32"/>
          <w:lang w:val="en-US" w:eastAsia="zh-CN"/>
        </w:rPr>
        <w:t>淮北市住房公积金管理中心</w:t>
      </w:r>
    </w:p>
    <w:p>
      <w:pPr>
        <w:ind w:firstLine="640" w:firstLineChars="200"/>
        <w:rPr>
          <w:rFonts w:hint="default" w:ascii="TimesNewRoman" w:hAnsi="TimesNewRoman" w:eastAsia="仿宋_GB2312" w:cs="TimesNewRoman"/>
          <w:kern w:val="0"/>
          <w:sz w:val="32"/>
          <w:szCs w:val="32"/>
          <w:lang w:val="en-US" w:eastAsia="zh-CN"/>
        </w:rPr>
      </w:pPr>
      <w:r>
        <w:rPr>
          <w:rFonts w:hint="eastAsia" w:ascii="TimesNewRoman" w:hAnsi="TimesNewRoman" w:eastAsia="仿宋_GB2312" w:cs="TimesNewRoman"/>
          <w:kern w:val="0"/>
          <w:sz w:val="32"/>
          <w:szCs w:val="32"/>
        </w:rPr>
        <w:t>（4）起止时间</w:t>
      </w:r>
      <w:r>
        <w:rPr>
          <w:rFonts w:hint="eastAsia" w:ascii="TimesNewRoman" w:hAnsi="TimesNewRoman" w:eastAsia="仿宋_GB2312" w:cs="TimesNewRoman"/>
          <w:kern w:val="0"/>
          <w:sz w:val="32"/>
          <w:szCs w:val="32"/>
          <w:lang w:eastAsia="zh-CN"/>
        </w:rPr>
        <w:t>：</w:t>
      </w:r>
      <w:r>
        <w:rPr>
          <w:rFonts w:hint="default" w:ascii="TimesNewRoman" w:hAnsi="TimesNewRoman" w:eastAsia="仿宋_GB2312" w:cs="TimesNewRoman"/>
          <w:kern w:val="0"/>
          <w:sz w:val="32"/>
          <w:szCs w:val="32"/>
          <w:lang w:val="en-US"/>
        </w:rPr>
        <w:t>2024</w:t>
      </w:r>
      <w:r>
        <w:rPr>
          <w:rFonts w:hint="eastAsia" w:ascii="TimesNewRoman" w:hAnsi="TimesNewRoman" w:eastAsia="仿宋_GB2312" w:cs="TimesNewRoman"/>
          <w:kern w:val="0"/>
          <w:sz w:val="32"/>
          <w:szCs w:val="32"/>
          <w:lang w:val="en-US" w:eastAsia="zh-CN"/>
        </w:rPr>
        <w:t>年</w:t>
      </w:r>
      <w:r>
        <w:rPr>
          <w:rFonts w:hint="default" w:ascii="TimesNewRoman" w:hAnsi="TimesNewRoman" w:eastAsia="仿宋_GB2312" w:cs="TimesNewRoman"/>
          <w:kern w:val="0"/>
          <w:sz w:val="32"/>
          <w:szCs w:val="32"/>
          <w:lang w:val="en-US" w:eastAsia="zh-CN"/>
        </w:rPr>
        <w:t>1-12</w:t>
      </w:r>
      <w:r>
        <w:rPr>
          <w:rFonts w:hint="eastAsia" w:ascii="TimesNewRoman" w:hAnsi="TimesNewRoman" w:eastAsia="仿宋_GB2312" w:cs="TimesNewRoman"/>
          <w:kern w:val="0"/>
          <w:sz w:val="32"/>
          <w:szCs w:val="32"/>
          <w:lang w:val="en-US" w:eastAsia="zh-CN"/>
        </w:rPr>
        <w:t>月</w:t>
      </w:r>
    </w:p>
    <w:p>
      <w:pPr>
        <w:ind w:firstLine="640" w:firstLineChars="200"/>
        <w:rPr>
          <w:rFonts w:hint="eastAsia" w:ascii="TimesNewRoman" w:hAnsi="TimesNewRoman" w:eastAsia="仿宋_GB2312" w:cs="TimesNewRoman"/>
          <w:kern w:val="0"/>
          <w:sz w:val="32"/>
          <w:szCs w:val="32"/>
          <w:lang w:val="en-US" w:eastAsia="zh-CN"/>
        </w:rPr>
      </w:pPr>
      <w:r>
        <w:rPr>
          <w:rFonts w:hint="eastAsia" w:ascii="TimesNewRoman" w:hAnsi="TimesNewRoman" w:eastAsia="仿宋_GB2312" w:cs="TimesNewRoman"/>
          <w:kern w:val="0"/>
          <w:sz w:val="32"/>
          <w:szCs w:val="32"/>
        </w:rPr>
        <w:t>（5）项目内容</w:t>
      </w:r>
      <w:r>
        <w:rPr>
          <w:rFonts w:hint="default" w:ascii="TimesNewRoman" w:hAnsi="TimesNewRoman" w:eastAsia="仿宋_GB2312" w:cs="TimesNewRoman"/>
          <w:kern w:val="0"/>
          <w:sz w:val="32"/>
          <w:szCs w:val="32"/>
          <w:lang w:val="en-US"/>
        </w:rPr>
        <w:t>:</w:t>
      </w:r>
      <w:r>
        <w:rPr>
          <w:rFonts w:hint="eastAsia" w:ascii="TimesNewRoman" w:hAnsi="TimesNewRoman" w:eastAsia="仿宋_GB2312" w:cs="TimesNewRoman"/>
          <w:kern w:val="0"/>
          <w:sz w:val="32"/>
          <w:szCs w:val="32"/>
          <w:lang w:val="en-US" w:eastAsia="zh-CN"/>
        </w:rPr>
        <w:t>工作运行经费由办公费、印刷费、差旅费、其他交通费用、劳务费、其他商品和服务支出、会议费、邮电费构成。</w:t>
      </w:r>
    </w:p>
    <w:p>
      <w:pPr>
        <w:ind w:firstLine="640" w:firstLineChars="200"/>
        <w:rPr>
          <w:rFonts w:hint="eastAsia" w:ascii="TimesNewRoman" w:hAnsi="TimesNewRoman" w:eastAsia="仿宋_GB2312" w:cs="TimesNewRoman"/>
          <w:kern w:val="0"/>
          <w:sz w:val="32"/>
          <w:szCs w:val="32"/>
          <w:lang w:val="en-US" w:eastAsia="zh-CN"/>
        </w:rPr>
      </w:pPr>
      <w:r>
        <w:rPr>
          <w:rFonts w:hint="eastAsia" w:ascii="TimesNewRoman" w:hAnsi="TimesNewRoman" w:eastAsia="仿宋_GB2312" w:cs="TimesNewRoman"/>
          <w:kern w:val="0"/>
          <w:sz w:val="32"/>
          <w:szCs w:val="32"/>
        </w:rPr>
        <w:t>（6）年度预算安排</w:t>
      </w:r>
      <w:r>
        <w:rPr>
          <w:rFonts w:hint="default" w:ascii="TimesNewRoman" w:hAnsi="TimesNewRoman" w:eastAsia="仿宋_GB2312" w:cs="TimesNewRoman"/>
          <w:kern w:val="0"/>
          <w:sz w:val="32"/>
          <w:szCs w:val="32"/>
          <w:lang w:val="en-US"/>
        </w:rPr>
        <w:t>225</w:t>
      </w:r>
      <w:r>
        <w:rPr>
          <w:rFonts w:hint="eastAsia" w:ascii="TimesNewRoman" w:hAnsi="TimesNewRoman" w:eastAsia="仿宋_GB2312" w:cs="TimesNewRoman"/>
          <w:kern w:val="0"/>
          <w:sz w:val="32"/>
          <w:szCs w:val="32"/>
          <w:lang w:val="en-US" w:eastAsia="zh-CN"/>
        </w:rPr>
        <w:t>万元。</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 w:hAnsi="仿宋" w:eastAsia="仿宋" w:cs="仿宋"/>
          <w:sz w:val="32"/>
          <w:szCs w:val="32"/>
        </w:rPr>
      </w:pPr>
      <w:r>
        <w:rPr>
          <w:rFonts w:hint="eastAsia" w:ascii="TimesNewRoman" w:hAnsi="TimesNewRoman" w:eastAsia="仿宋_GB2312" w:cs="TimesNewRoman"/>
          <w:kern w:val="0"/>
          <w:sz w:val="32"/>
          <w:szCs w:val="32"/>
        </w:rPr>
        <w:t>（7）绩效目标。</w:t>
      </w:r>
    </w:p>
    <w:p>
      <w:pPr>
        <w:ind w:firstLine="640" w:firstLineChars="200"/>
        <w:rPr>
          <w:rFonts w:hint="default" w:ascii="TimesNewRoman" w:hAnsi="TimesNewRoman" w:eastAsia="仿宋_GB2312" w:cs="TimesNewRoman"/>
          <w:kern w:val="0"/>
          <w:sz w:val="32"/>
          <w:szCs w:val="32"/>
          <w:lang w:val="en-US" w:eastAsia="zh-CN"/>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1005"/>
        <w:gridCol w:w="214"/>
        <w:gridCol w:w="1635"/>
        <w:gridCol w:w="2040"/>
        <w:gridCol w:w="1125"/>
        <w:gridCol w:w="2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9020" w:type="dxa"/>
            <w:gridSpan w:val="7"/>
            <w:tcBorders>
              <w:top w:val="nil"/>
              <w:left w:val="nil"/>
              <w:bottom w:val="nil"/>
              <w:right w:val="nil"/>
            </w:tcBorders>
            <w:vAlign w:val="center"/>
          </w:tcPr>
          <w:p>
            <w:pPr>
              <w:widowControl/>
              <w:jc w:val="center"/>
              <w:textAlignment w:val="center"/>
              <w:rPr>
                <w:rFonts w:ascii="宋体" w:cs="宋体"/>
                <w:b/>
                <w:bCs/>
                <w:szCs w:val="32"/>
              </w:rPr>
            </w:pPr>
            <w:r>
              <w:rPr>
                <w:rFonts w:hint="eastAsia" w:ascii="宋体" w:hAnsi="宋体" w:eastAsia="宋体" w:cs="宋体"/>
                <w:b/>
                <w:color w:val="000000"/>
                <w:kern w:val="0"/>
                <w:sz w:val="28"/>
                <w:szCs w:val="28"/>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020" w:type="dxa"/>
            <w:gridSpan w:val="7"/>
            <w:tcBorders>
              <w:top w:val="nil"/>
              <w:left w:val="nil"/>
              <w:right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 xml:space="preserve"> （2024年度）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2"/>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项目名称</w:t>
            </w:r>
          </w:p>
        </w:tc>
        <w:tc>
          <w:tcPr>
            <w:tcW w:w="7577" w:type="dxa"/>
            <w:gridSpan w:val="5"/>
            <w:tcBorders>
              <w:tl2br w:val="nil"/>
              <w:tr2bl w:val="nil"/>
            </w:tcBorders>
            <w:vAlign w:val="center"/>
          </w:tcPr>
          <w:p>
            <w:pPr>
              <w:ind w:firstLine="2400" w:firstLineChars="1200"/>
              <w:jc w:val="both"/>
              <w:rPr>
                <w:rFonts w:hint="default" w:ascii="宋体" w:cs="宋体" w:eastAsiaTheme="minorEastAsia"/>
                <w:sz w:val="20"/>
                <w:lang w:val="en-US" w:eastAsia="zh-CN"/>
              </w:rPr>
            </w:pPr>
            <w:r>
              <w:rPr>
                <w:rFonts w:hint="eastAsia" w:ascii="宋体" w:cs="宋体"/>
                <w:sz w:val="20"/>
                <w:lang w:val="en-US" w:eastAsia="zh-CN"/>
              </w:rPr>
              <w:t>工作运行经费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443"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主管部门   及代码</w:t>
            </w:r>
          </w:p>
        </w:tc>
        <w:tc>
          <w:tcPr>
            <w:tcW w:w="3889" w:type="dxa"/>
            <w:gridSpan w:val="3"/>
            <w:tcBorders>
              <w:tl2br w:val="nil"/>
              <w:tr2bl w:val="nil"/>
            </w:tcBorders>
            <w:vAlign w:val="center"/>
          </w:tcPr>
          <w:p>
            <w:pPr>
              <w:jc w:val="center"/>
              <w:rPr>
                <w:rFonts w:hint="default" w:ascii="宋体" w:cs="宋体" w:eastAsiaTheme="minorEastAsia"/>
                <w:sz w:val="20"/>
                <w:lang w:val="en-US" w:eastAsia="zh-CN"/>
              </w:rPr>
            </w:pPr>
            <w:r>
              <w:rPr>
                <w:rFonts w:hint="eastAsia" w:ascii="宋体" w:cs="宋体"/>
                <w:sz w:val="20"/>
                <w:lang w:val="en-US" w:eastAsia="zh-CN"/>
              </w:rPr>
              <w:t>淮北市住房公积金管理中心</w:t>
            </w:r>
            <w:r>
              <w:rPr>
                <w:rFonts w:hint="default" w:ascii="宋体" w:cs="宋体"/>
                <w:sz w:val="20"/>
                <w:lang w:val="en-US" w:eastAsia="zh-CN"/>
              </w:rPr>
              <w:t xml:space="preserve"> </w:t>
            </w:r>
          </w:p>
        </w:tc>
        <w:tc>
          <w:tcPr>
            <w:tcW w:w="1125" w:type="dxa"/>
            <w:tcBorders>
              <w:tl2br w:val="nil"/>
              <w:tr2bl w:val="nil"/>
            </w:tcBorders>
            <w:vAlign w:val="center"/>
          </w:tcPr>
          <w:p>
            <w:pPr>
              <w:widowControl/>
              <w:jc w:val="center"/>
              <w:textAlignment w:val="center"/>
            </w:pPr>
            <w:r>
              <w:rPr>
                <w:rFonts w:hint="eastAsia" w:ascii="宋体" w:hAnsi="宋体" w:eastAsia="宋体" w:cs="宋体"/>
                <w:color w:val="000000"/>
                <w:kern w:val="0"/>
                <w:sz w:val="20"/>
                <w:szCs w:val="20"/>
              </w:rPr>
              <w:t>实施单位</w:t>
            </w:r>
          </w:p>
        </w:tc>
        <w:tc>
          <w:tcPr>
            <w:tcW w:w="2563" w:type="dxa"/>
            <w:tcBorders>
              <w:tl2br w:val="nil"/>
              <w:tr2bl w:val="nil"/>
            </w:tcBorders>
            <w:vAlign w:val="center"/>
          </w:tcPr>
          <w:p>
            <w:pPr>
              <w:jc w:val="center"/>
              <w:rPr>
                <w:rFonts w:hint="default" w:eastAsiaTheme="minorEastAsia"/>
                <w:lang w:val="en-US" w:eastAsia="zh-CN"/>
              </w:rPr>
            </w:pPr>
            <w:r>
              <w:rPr>
                <w:rFonts w:hint="eastAsia"/>
                <w:sz w:val="18"/>
                <w:szCs w:val="18"/>
                <w:lang w:val="en-US" w:eastAsia="zh-CN"/>
              </w:rPr>
              <w:t>淮</w:t>
            </w:r>
            <w:r>
              <w:rPr>
                <w:rFonts w:hint="eastAsia"/>
                <w:sz w:val="20"/>
                <w:szCs w:val="20"/>
                <w:lang w:val="en-US" w:eastAsia="zh-CN"/>
              </w:rPr>
              <w:t>北市住房公积金管</w:t>
            </w:r>
            <w:r>
              <w:rPr>
                <w:rFonts w:hint="eastAsia"/>
                <w:sz w:val="18"/>
                <w:szCs w:val="18"/>
                <w:lang w:val="en-US" w:eastAsia="zh-CN"/>
              </w:rPr>
              <w:t>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2"/>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项目来源</w:t>
            </w:r>
          </w:p>
        </w:tc>
        <w:tc>
          <w:tcPr>
            <w:tcW w:w="3889" w:type="dxa"/>
            <w:gridSpan w:val="3"/>
            <w:tcBorders>
              <w:tl2br w:val="nil"/>
              <w:tr2bl w:val="nil"/>
            </w:tcBorders>
            <w:vAlign w:val="center"/>
          </w:tcPr>
          <w:p>
            <w:pPr>
              <w:jc w:val="center"/>
              <w:rPr>
                <w:rFonts w:hint="eastAsia" w:ascii="宋体" w:cs="宋体" w:eastAsiaTheme="minorEastAsia"/>
                <w:sz w:val="20"/>
                <w:lang w:val="en-US" w:eastAsia="zh-CN"/>
              </w:rPr>
            </w:pPr>
            <w:r>
              <w:rPr>
                <w:rFonts w:hint="eastAsia" w:ascii="宋体" w:cs="宋体"/>
                <w:sz w:val="20"/>
                <w:lang w:val="en-US" w:eastAsia="zh-CN"/>
              </w:rPr>
              <w:t>单位申报</w:t>
            </w:r>
          </w:p>
        </w:tc>
        <w:tc>
          <w:tcPr>
            <w:tcW w:w="1125" w:type="dxa"/>
            <w:tcBorders>
              <w:tl2br w:val="nil"/>
              <w:tr2bl w:val="nil"/>
            </w:tcBorders>
            <w:vAlign w:val="center"/>
          </w:tcPr>
          <w:p>
            <w:pPr>
              <w:widowControl/>
              <w:jc w:val="center"/>
              <w:textAlignment w:val="center"/>
            </w:pPr>
            <w:r>
              <w:rPr>
                <w:rFonts w:hint="eastAsia" w:ascii="宋体" w:hAnsi="宋体" w:eastAsia="宋体" w:cs="宋体"/>
                <w:color w:val="000000"/>
                <w:kern w:val="0"/>
                <w:sz w:val="20"/>
                <w:szCs w:val="20"/>
              </w:rPr>
              <w:t>项目期</w:t>
            </w:r>
          </w:p>
        </w:tc>
        <w:tc>
          <w:tcPr>
            <w:tcW w:w="2563" w:type="dxa"/>
            <w:tcBorders>
              <w:tl2br w:val="nil"/>
              <w:tr2bl w:val="nil"/>
            </w:tcBorders>
            <w:vAlign w:val="center"/>
          </w:tcPr>
          <w:p>
            <w:pPr>
              <w:jc w:val="center"/>
              <w:rPr>
                <w:rFonts w:hint="default" w:eastAsiaTheme="minorEastAsia"/>
                <w:lang w:val="en-US" w:eastAsia="zh-CN"/>
              </w:rPr>
            </w:pPr>
            <w:r>
              <w:rPr>
                <w:rFonts w:hint="eastAsia"/>
                <w:lang w:val="en-US" w:eastAsia="zh-CN"/>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2"/>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项目资金</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（万元）</w:t>
            </w:r>
          </w:p>
        </w:tc>
        <w:tc>
          <w:tcPr>
            <w:tcW w:w="3889" w:type="dxa"/>
            <w:gridSpan w:val="3"/>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年度资金总额：</w:t>
            </w:r>
          </w:p>
        </w:tc>
        <w:tc>
          <w:tcPr>
            <w:tcW w:w="3688" w:type="dxa"/>
            <w:gridSpan w:val="2"/>
            <w:tcBorders>
              <w:tl2br w:val="nil"/>
              <w:tr2bl w:val="nil"/>
            </w:tcBorders>
            <w:vAlign w:val="center"/>
          </w:tcPr>
          <w:p>
            <w:pPr>
              <w:jc w:val="right"/>
              <w:rPr>
                <w:rFonts w:hint="default" w:ascii="宋体" w:cs="宋体"/>
                <w:sz w:val="20"/>
                <w:lang w:val="en-US"/>
              </w:rPr>
            </w:pPr>
            <w:r>
              <w:rPr>
                <w:rFonts w:hint="default" w:ascii="宋体" w:cs="宋体"/>
                <w:sz w:val="20"/>
                <w:lang w:val="en-US"/>
              </w:rPr>
              <w:t>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2"/>
            <w:vMerge w:val="continue"/>
            <w:tcBorders>
              <w:tl2br w:val="nil"/>
              <w:tr2bl w:val="nil"/>
            </w:tcBorders>
            <w:vAlign w:val="center"/>
          </w:tcPr>
          <w:p>
            <w:pPr>
              <w:jc w:val="center"/>
              <w:rPr>
                <w:rFonts w:ascii="宋体" w:cs="宋体"/>
                <w:sz w:val="20"/>
              </w:rPr>
            </w:pPr>
          </w:p>
        </w:tc>
        <w:tc>
          <w:tcPr>
            <w:tcW w:w="3889" w:type="dxa"/>
            <w:gridSpan w:val="3"/>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其中：财政拨款</w:t>
            </w:r>
          </w:p>
        </w:tc>
        <w:tc>
          <w:tcPr>
            <w:tcW w:w="3688" w:type="dxa"/>
            <w:gridSpan w:val="2"/>
            <w:tcBorders>
              <w:tl2br w:val="nil"/>
              <w:tr2bl w:val="nil"/>
            </w:tcBorders>
            <w:vAlign w:val="center"/>
          </w:tcPr>
          <w:p>
            <w:pPr>
              <w:jc w:val="right"/>
              <w:rPr>
                <w:rFonts w:hint="default" w:ascii="宋体" w:cs="宋体"/>
                <w:sz w:val="20"/>
                <w:lang w:val="en-US"/>
              </w:rPr>
            </w:pPr>
            <w:r>
              <w:rPr>
                <w:rFonts w:hint="default" w:ascii="宋体" w:cs="宋体"/>
                <w:sz w:val="20"/>
                <w:lang w:val="en-US"/>
              </w:rPr>
              <w:t>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2"/>
            <w:vMerge w:val="continue"/>
            <w:tcBorders>
              <w:tl2br w:val="nil"/>
              <w:tr2bl w:val="nil"/>
            </w:tcBorders>
            <w:vAlign w:val="center"/>
          </w:tcPr>
          <w:p>
            <w:pPr>
              <w:jc w:val="center"/>
              <w:rPr>
                <w:rFonts w:ascii="宋体" w:cs="宋体"/>
                <w:sz w:val="20"/>
              </w:rPr>
            </w:pPr>
          </w:p>
        </w:tc>
        <w:tc>
          <w:tcPr>
            <w:tcW w:w="3889" w:type="dxa"/>
            <w:gridSpan w:val="3"/>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上年结转</w:t>
            </w:r>
          </w:p>
        </w:tc>
        <w:tc>
          <w:tcPr>
            <w:tcW w:w="3688" w:type="dxa"/>
            <w:gridSpan w:val="2"/>
            <w:tcBorders>
              <w:tl2br w:val="nil"/>
              <w:tr2bl w:val="nil"/>
            </w:tcBorders>
            <w:vAlign w:val="center"/>
          </w:tcPr>
          <w:p>
            <w:pPr>
              <w:jc w:val="center"/>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2"/>
            <w:vMerge w:val="continue"/>
            <w:tcBorders>
              <w:tl2br w:val="nil"/>
              <w:tr2bl w:val="nil"/>
            </w:tcBorders>
            <w:vAlign w:val="center"/>
          </w:tcPr>
          <w:p>
            <w:pPr>
              <w:jc w:val="center"/>
              <w:rPr>
                <w:rFonts w:ascii="宋体" w:cs="宋体"/>
                <w:sz w:val="20"/>
              </w:rPr>
            </w:pPr>
          </w:p>
        </w:tc>
        <w:tc>
          <w:tcPr>
            <w:tcW w:w="3889" w:type="dxa"/>
            <w:gridSpan w:val="3"/>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其他资金</w:t>
            </w:r>
          </w:p>
        </w:tc>
        <w:tc>
          <w:tcPr>
            <w:tcW w:w="3688" w:type="dxa"/>
            <w:gridSpan w:val="2"/>
            <w:tcBorders>
              <w:tl2br w:val="nil"/>
              <w:tr2bl w:val="nil"/>
            </w:tcBorders>
            <w:vAlign w:val="center"/>
          </w:tcPr>
          <w:p>
            <w:pPr>
              <w:jc w:val="right"/>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438" w:type="dxa"/>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年度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目标</w:t>
            </w:r>
          </w:p>
        </w:tc>
        <w:tc>
          <w:tcPr>
            <w:tcW w:w="8582" w:type="dxa"/>
            <w:gridSpan w:val="6"/>
            <w:tcBorders>
              <w:tl2br w:val="nil"/>
              <w:tr2bl w:val="nil"/>
            </w:tcBorders>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400" w:firstLineChars="200"/>
              <w:rPr>
                <w:rFonts w:hint="eastAsia" w:ascii="宋体" w:hAnsi="宋体" w:eastAsia="宋体" w:cs="宋体"/>
                <w:sz w:val="20"/>
                <w:szCs w:val="20"/>
              </w:rPr>
            </w:pPr>
            <w:r>
              <w:rPr>
                <w:rFonts w:hint="eastAsia" w:ascii="宋体" w:hAnsi="宋体" w:eastAsia="宋体" w:cs="宋体"/>
                <w:sz w:val="20"/>
                <w:szCs w:val="20"/>
              </w:rPr>
              <w:t>保</w:t>
            </w:r>
            <w:r>
              <w:rPr>
                <w:rFonts w:hint="eastAsia" w:ascii="宋体" w:hAnsi="宋体" w:eastAsia="宋体" w:cs="宋体"/>
                <w:sz w:val="20"/>
                <w:szCs w:val="20"/>
                <w:lang w:val="en-US" w:eastAsia="zh-CN"/>
              </w:rPr>
              <w:t>障淮北市住房公积金管理中心</w:t>
            </w:r>
            <w:r>
              <w:rPr>
                <w:rFonts w:hint="eastAsia" w:ascii="宋体" w:hAnsi="宋体" w:eastAsia="宋体" w:cs="宋体"/>
                <w:sz w:val="20"/>
                <w:szCs w:val="20"/>
                <w:lang w:eastAsia="zh-CN"/>
              </w:rPr>
              <w:t>正常</w:t>
            </w:r>
            <w:r>
              <w:rPr>
                <w:rFonts w:hint="eastAsia" w:ascii="宋体" w:hAnsi="宋体" w:eastAsia="宋体" w:cs="宋体"/>
                <w:sz w:val="20"/>
                <w:szCs w:val="20"/>
              </w:rPr>
              <w:t>工作</w:t>
            </w:r>
            <w:r>
              <w:rPr>
                <w:rFonts w:hint="eastAsia" w:ascii="宋体" w:hAnsi="宋体" w:eastAsia="宋体" w:cs="宋体"/>
                <w:sz w:val="20"/>
                <w:szCs w:val="20"/>
                <w:lang w:eastAsia="zh-CN"/>
              </w:rPr>
              <w:t>运行</w:t>
            </w:r>
            <w:r>
              <w:rPr>
                <w:rFonts w:hint="eastAsia" w:ascii="宋体" w:hAnsi="宋体" w:eastAsia="宋体" w:cs="宋体"/>
                <w:sz w:val="20"/>
                <w:szCs w:val="20"/>
              </w:rPr>
              <w:t>。</w:t>
            </w:r>
          </w:p>
          <w:p>
            <w:pPr>
              <w:jc w:val="left"/>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438" w:type="dxa"/>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绩</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效</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标</w:t>
            </w:r>
          </w:p>
        </w:tc>
        <w:tc>
          <w:tcPr>
            <w:tcW w:w="121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一级</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指标</w:t>
            </w:r>
          </w:p>
        </w:tc>
        <w:tc>
          <w:tcPr>
            <w:tcW w:w="1635" w:type="dxa"/>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二级指标</w:t>
            </w:r>
          </w:p>
        </w:tc>
        <w:tc>
          <w:tcPr>
            <w:tcW w:w="2040" w:type="dxa"/>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三级指标</w:t>
            </w:r>
          </w:p>
        </w:tc>
        <w:tc>
          <w:tcPr>
            <w:tcW w:w="3688" w:type="dxa"/>
            <w:gridSpan w:val="2"/>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38" w:type="dxa"/>
            <w:vMerge w:val="continue"/>
            <w:tcBorders>
              <w:tl2br w:val="nil"/>
              <w:tr2bl w:val="nil"/>
            </w:tcBorders>
            <w:vAlign w:val="center"/>
          </w:tcPr>
          <w:p>
            <w:pPr>
              <w:jc w:val="center"/>
              <w:rPr>
                <w:rFonts w:ascii="宋体" w:cs="宋体"/>
                <w:sz w:val="20"/>
              </w:rPr>
            </w:pPr>
          </w:p>
        </w:tc>
        <w:tc>
          <w:tcPr>
            <w:tcW w:w="1219" w:type="dxa"/>
            <w:gridSpan w:val="2"/>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产出指标</w:t>
            </w:r>
          </w:p>
        </w:tc>
        <w:tc>
          <w:tcPr>
            <w:tcW w:w="1635" w:type="dxa"/>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数量指标</w:t>
            </w:r>
          </w:p>
        </w:tc>
        <w:tc>
          <w:tcPr>
            <w:tcW w:w="2040" w:type="dxa"/>
            <w:tcBorders>
              <w:tl2br w:val="nil"/>
              <w:tr2bl w:val="nil"/>
            </w:tcBorders>
            <w:vAlign w:val="center"/>
          </w:tcPr>
          <w:p>
            <w:pPr>
              <w:widowControl/>
              <w:jc w:val="left"/>
              <w:textAlignment w:val="center"/>
              <w:rPr>
                <w:rFonts w:hint="default" w:ascii="宋体" w:eastAsia="宋体" w:cs="宋体"/>
                <w:sz w:val="20"/>
                <w:lang w:val="en-US" w:eastAsia="zh-CN"/>
              </w:rPr>
            </w:pPr>
            <w:r>
              <w:rPr>
                <w:rFonts w:hint="eastAsia" w:ascii="宋体" w:hAnsi="宋体" w:eastAsia="宋体" w:cs="宋体"/>
                <w:color w:val="000000"/>
                <w:kern w:val="0"/>
                <w:sz w:val="20"/>
                <w:szCs w:val="20"/>
              </w:rPr>
              <w:t>指标：</w:t>
            </w:r>
            <w:r>
              <w:rPr>
                <w:rFonts w:hint="eastAsia" w:ascii="宋体" w:hAnsi="宋体" w:eastAsia="宋体" w:cs="宋体"/>
                <w:color w:val="000000"/>
                <w:kern w:val="0"/>
                <w:sz w:val="20"/>
                <w:szCs w:val="20"/>
                <w:lang w:val="en-US" w:eastAsia="zh-CN"/>
              </w:rPr>
              <w:t>工作运行经费</w:t>
            </w:r>
          </w:p>
        </w:tc>
        <w:tc>
          <w:tcPr>
            <w:tcW w:w="3688" w:type="dxa"/>
            <w:gridSpan w:val="2"/>
            <w:tcBorders>
              <w:tl2br w:val="nil"/>
              <w:tr2bl w:val="nil"/>
            </w:tcBorders>
            <w:vAlign w:val="center"/>
          </w:tcPr>
          <w:p>
            <w:pPr>
              <w:jc w:val="center"/>
              <w:rPr>
                <w:rFonts w:hint="default" w:ascii="宋体" w:cs="宋体"/>
                <w:sz w:val="20"/>
                <w:lang w:val="en-US"/>
              </w:rPr>
            </w:pPr>
            <w:r>
              <w:rPr>
                <w:rFonts w:hint="default" w:ascii="宋体" w:cs="宋体"/>
                <w:sz w:val="20"/>
                <w:lang w:val="en-US"/>
              </w:rPr>
              <w:t>=225.00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438" w:type="dxa"/>
            <w:vMerge w:val="continue"/>
            <w:tcBorders>
              <w:tl2br w:val="nil"/>
              <w:tr2bl w:val="nil"/>
            </w:tcBorders>
            <w:vAlign w:val="center"/>
          </w:tcPr>
          <w:p>
            <w:pPr>
              <w:jc w:val="center"/>
              <w:rPr>
                <w:rFonts w:ascii="宋体" w:cs="宋体"/>
                <w:sz w:val="20"/>
              </w:rPr>
            </w:pPr>
          </w:p>
        </w:tc>
        <w:tc>
          <w:tcPr>
            <w:tcW w:w="1219" w:type="dxa"/>
            <w:gridSpan w:val="2"/>
            <w:vMerge w:val="continue"/>
            <w:tcBorders>
              <w:tl2br w:val="nil"/>
              <w:tr2bl w:val="nil"/>
            </w:tcBorders>
            <w:vAlign w:val="center"/>
          </w:tcPr>
          <w:p>
            <w:pPr>
              <w:jc w:val="center"/>
              <w:rPr>
                <w:rFonts w:ascii="宋体" w:cs="宋体"/>
                <w:sz w:val="20"/>
              </w:rPr>
            </w:pPr>
          </w:p>
        </w:tc>
        <w:tc>
          <w:tcPr>
            <w:tcW w:w="1635" w:type="dxa"/>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质量指标</w:t>
            </w:r>
          </w:p>
        </w:tc>
        <w:tc>
          <w:tcPr>
            <w:tcW w:w="2040" w:type="dxa"/>
            <w:tcBorders>
              <w:tl2br w:val="nil"/>
              <w:tr2bl w:val="nil"/>
            </w:tcBorders>
            <w:vAlign w:val="center"/>
          </w:tcPr>
          <w:p>
            <w:pPr>
              <w:widowControl/>
              <w:jc w:val="left"/>
              <w:textAlignment w:val="center"/>
              <w:rPr>
                <w:rFonts w:hint="default" w:ascii="宋体" w:eastAsia="宋体" w:cs="宋体"/>
                <w:sz w:val="20"/>
                <w:lang w:val="en-US" w:eastAsia="zh-CN"/>
              </w:rPr>
            </w:pPr>
            <w:r>
              <w:rPr>
                <w:rFonts w:hint="eastAsia" w:ascii="宋体" w:hAnsi="宋体" w:eastAsia="宋体" w:cs="宋体"/>
                <w:color w:val="000000"/>
                <w:kern w:val="0"/>
                <w:sz w:val="20"/>
                <w:szCs w:val="20"/>
              </w:rPr>
              <w:t>指标：</w:t>
            </w:r>
            <w:r>
              <w:rPr>
                <w:rFonts w:hint="eastAsia" w:asciiTheme="minorEastAsia" w:hAnsiTheme="minorEastAsia" w:eastAsiaTheme="minorEastAsia" w:cstheme="minorEastAsia"/>
                <w:color w:val="000000"/>
                <w:kern w:val="0"/>
                <w:sz w:val="20"/>
                <w:szCs w:val="20"/>
                <w:lang w:val="en-US" w:eastAsia="zh-CN"/>
              </w:rPr>
              <w:t>经费支出合规性</w:t>
            </w:r>
          </w:p>
        </w:tc>
        <w:tc>
          <w:tcPr>
            <w:tcW w:w="3688" w:type="dxa"/>
            <w:gridSpan w:val="2"/>
            <w:tcBorders>
              <w:tl2br w:val="nil"/>
              <w:tr2bl w:val="nil"/>
            </w:tcBorders>
            <w:vAlign w:val="center"/>
          </w:tcPr>
          <w:p>
            <w:pPr>
              <w:jc w:val="center"/>
              <w:rPr>
                <w:rFonts w:hint="default" w:ascii="宋体" w:cs="宋体" w:eastAsiaTheme="minorEastAsia"/>
                <w:sz w:val="20"/>
                <w:lang w:val="en-US" w:eastAsia="zh-CN"/>
              </w:rPr>
            </w:pPr>
            <w:r>
              <w:rPr>
                <w:rFonts w:hint="eastAsia" w:ascii="宋体" w:cs="宋体"/>
                <w:sz w:val="20"/>
                <w:lang w:val="en-US" w:eastAsia="zh-CN"/>
              </w:rPr>
              <w:t>合规合理节约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1219" w:type="dxa"/>
            <w:gridSpan w:val="2"/>
            <w:vMerge w:val="continue"/>
            <w:tcBorders>
              <w:tl2br w:val="nil"/>
              <w:tr2bl w:val="nil"/>
            </w:tcBorders>
            <w:vAlign w:val="center"/>
          </w:tcPr>
          <w:p>
            <w:pPr>
              <w:jc w:val="center"/>
              <w:rPr>
                <w:rFonts w:ascii="宋体" w:cs="宋体"/>
                <w:sz w:val="20"/>
              </w:rPr>
            </w:pPr>
          </w:p>
        </w:tc>
        <w:tc>
          <w:tcPr>
            <w:tcW w:w="1635" w:type="dxa"/>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时效指标</w:t>
            </w:r>
          </w:p>
        </w:tc>
        <w:tc>
          <w:tcPr>
            <w:tcW w:w="2040" w:type="dxa"/>
            <w:tcBorders>
              <w:tl2br w:val="nil"/>
              <w:tr2bl w:val="nil"/>
            </w:tcBorders>
            <w:vAlign w:val="center"/>
          </w:tcPr>
          <w:p>
            <w:pPr>
              <w:widowControl/>
              <w:jc w:val="left"/>
              <w:textAlignment w:val="center"/>
              <w:rPr>
                <w:rFonts w:hint="default" w:ascii="宋体" w:eastAsia="宋体" w:cs="宋体"/>
                <w:sz w:val="20"/>
                <w:lang w:val="en-US" w:eastAsia="zh-CN"/>
              </w:rPr>
            </w:pPr>
            <w:r>
              <w:rPr>
                <w:rFonts w:hint="eastAsia" w:ascii="宋体" w:hAnsi="宋体" w:eastAsia="宋体" w:cs="宋体"/>
                <w:color w:val="000000"/>
                <w:kern w:val="0"/>
                <w:sz w:val="20"/>
                <w:szCs w:val="20"/>
              </w:rPr>
              <w:t>指标：</w:t>
            </w:r>
            <w:r>
              <w:rPr>
                <w:rFonts w:hint="eastAsia" w:ascii="宋体" w:hAnsi="宋体" w:eastAsia="宋体" w:cs="宋体"/>
                <w:color w:val="000000"/>
                <w:kern w:val="0"/>
                <w:sz w:val="20"/>
                <w:szCs w:val="20"/>
                <w:lang w:val="en-US" w:eastAsia="zh-CN"/>
              </w:rPr>
              <w:t>经费支出时效性</w:t>
            </w:r>
          </w:p>
        </w:tc>
        <w:tc>
          <w:tcPr>
            <w:tcW w:w="3688" w:type="dxa"/>
            <w:gridSpan w:val="2"/>
            <w:tcBorders>
              <w:tl2br w:val="nil"/>
              <w:tr2bl w:val="nil"/>
            </w:tcBorders>
            <w:vAlign w:val="center"/>
          </w:tcPr>
          <w:p>
            <w:pPr>
              <w:jc w:val="center"/>
              <w:rPr>
                <w:rFonts w:hint="default" w:ascii="宋体" w:cs="宋体" w:eastAsiaTheme="minorEastAsia"/>
                <w:sz w:val="20"/>
                <w:lang w:val="en-US" w:eastAsia="zh-CN"/>
              </w:rPr>
            </w:pPr>
            <w:r>
              <w:rPr>
                <w:rFonts w:hint="eastAsia" w:ascii="宋体" w:cs="宋体"/>
                <w:sz w:val="20"/>
                <w:lang w:val="en-US" w:eastAsia="zh-CN"/>
              </w:rPr>
              <w:t>保障经费支出及时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1219" w:type="dxa"/>
            <w:gridSpan w:val="2"/>
            <w:vMerge w:val="continue"/>
            <w:tcBorders>
              <w:tl2br w:val="nil"/>
              <w:tr2bl w:val="nil"/>
            </w:tcBorders>
            <w:vAlign w:val="center"/>
          </w:tcPr>
          <w:p>
            <w:pPr>
              <w:jc w:val="center"/>
              <w:rPr>
                <w:rFonts w:ascii="宋体" w:cs="宋体"/>
                <w:sz w:val="20"/>
              </w:rPr>
            </w:pPr>
          </w:p>
        </w:tc>
        <w:tc>
          <w:tcPr>
            <w:tcW w:w="1635" w:type="dxa"/>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成本指标</w:t>
            </w:r>
          </w:p>
        </w:tc>
        <w:tc>
          <w:tcPr>
            <w:tcW w:w="2040" w:type="dxa"/>
            <w:tcBorders>
              <w:tl2br w:val="nil"/>
              <w:tr2bl w:val="nil"/>
            </w:tcBorders>
            <w:vAlign w:val="center"/>
          </w:tcPr>
          <w:p>
            <w:pPr>
              <w:widowControl/>
              <w:jc w:val="left"/>
              <w:textAlignment w:val="center"/>
              <w:rPr>
                <w:rFonts w:hint="default" w:ascii="宋体" w:eastAsia="宋体" w:cs="宋体"/>
                <w:sz w:val="20"/>
                <w:lang w:val="en-US" w:eastAsia="zh-CN"/>
              </w:rPr>
            </w:pPr>
            <w:r>
              <w:rPr>
                <w:rFonts w:hint="eastAsia" w:ascii="宋体" w:hAnsi="宋体" w:eastAsia="宋体" w:cs="宋体"/>
                <w:color w:val="000000"/>
                <w:kern w:val="0"/>
                <w:sz w:val="20"/>
                <w:szCs w:val="20"/>
              </w:rPr>
              <w:t>指标：</w:t>
            </w:r>
            <w:r>
              <w:rPr>
                <w:rFonts w:hint="eastAsia" w:ascii="宋体" w:hAnsi="宋体" w:eastAsia="宋体" w:cs="宋体"/>
                <w:color w:val="000000"/>
                <w:kern w:val="0"/>
                <w:sz w:val="20"/>
                <w:szCs w:val="20"/>
                <w:lang w:val="en-US" w:eastAsia="zh-CN"/>
              </w:rPr>
              <w:t>工作运行经费总额</w:t>
            </w:r>
          </w:p>
        </w:tc>
        <w:tc>
          <w:tcPr>
            <w:tcW w:w="3688" w:type="dxa"/>
            <w:gridSpan w:val="2"/>
            <w:tcBorders>
              <w:tl2br w:val="nil"/>
              <w:tr2bl w:val="nil"/>
            </w:tcBorders>
            <w:vAlign w:val="center"/>
          </w:tcPr>
          <w:p>
            <w:pPr>
              <w:jc w:val="center"/>
              <w:rPr>
                <w:rFonts w:hint="default" w:ascii="宋体" w:cs="宋体"/>
                <w:sz w:val="20"/>
                <w:lang w:val="en-US"/>
              </w:rPr>
            </w:pPr>
            <w:r>
              <w:rPr>
                <w:rFonts w:hint="default" w:ascii="宋体" w:cs="宋体"/>
                <w:sz w:val="20"/>
                <w:lang w:val="en-US"/>
              </w:rPr>
              <w:t>=225.00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1219" w:type="dxa"/>
            <w:gridSpan w:val="2"/>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效益指标</w:t>
            </w:r>
          </w:p>
        </w:tc>
        <w:tc>
          <w:tcPr>
            <w:tcW w:w="1635" w:type="dxa"/>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经济效益指标</w:t>
            </w:r>
          </w:p>
        </w:tc>
        <w:tc>
          <w:tcPr>
            <w:tcW w:w="2040" w:type="dxa"/>
            <w:tcBorders>
              <w:tl2br w:val="nil"/>
              <w:tr2bl w:val="nil"/>
            </w:tcBorders>
            <w:vAlign w:val="center"/>
          </w:tcPr>
          <w:p>
            <w:pPr>
              <w:widowControl/>
              <w:jc w:val="left"/>
              <w:textAlignment w:val="center"/>
              <w:rPr>
                <w:rFonts w:hint="default" w:ascii="宋体" w:eastAsia="宋体" w:cs="宋体"/>
                <w:sz w:val="20"/>
                <w:lang w:val="en-US" w:eastAsia="zh-CN"/>
              </w:rPr>
            </w:pPr>
            <w:r>
              <w:rPr>
                <w:rFonts w:hint="eastAsia" w:ascii="宋体" w:hAnsi="宋体" w:eastAsia="宋体" w:cs="宋体"/>
                <w:color w:val="000000"/>
                <w:kern w:val="0"/>
                <w:sz w:val="20"/>
                <w:szCs w:val="20"/>
              </w:rPr>
              <w:t>指标：</w:t>
            </w:r>
            <w:r>
              <w:rPr>
                <w:rFonts w:hint="eastAsia" w:ascii="宋体" w:hAnsi="宋体" w:eastAsia="宋体" w:cs="宋体"/>
                <w:color w:val="000000"/>
                <w:kern w:val="0"/>
                <w:sz w:val="20"/>
                <w:szCs w:val="20"/>
                <w:lang w:val="en-US" w:eastAsia="zh-CN"/>
              </w:rPr>
              <w:t>经济效益</w:t>
            </w:r>
          </w:p>
        </w:tc>
        <w:tc>
          <w:tcPr>
            <w:tcW w:w="3688" w:type="dxa"/>
            <w:gridSpan w:val="2"/>
            <w:tcBorders>
              <w:tl2br w:val="nil"/>
              <w:tr2bl w:val="nil"/>
            </w:tcBorders>
            <w:vAlign w:val="center"/>
          </w:tcPr>
          <w:p>
            <w:pPr>
              <w:jc w:val="center"/>
              <w:rPr>
                <w:rFonts w:hint="eastAsia" w:ascii="宋体" w:cs="宋体" w:eastAsiaTheme="minorEastAsia"/>
                <w:sz w:val="20"/>
                <w:lang w:val="en-US" w:eastAsia="zh-CN"/>
              </w:rPr>
            </w:pPr>
            <w:r>
              <w:rPr>
                <w:rFonts w:hint="eastAsia" w:ascii="宋体" w:cs="宋体"/>
                <w:sz w:val="20"/>
                <w:lang w:val="en-US" w:eastAsia="zh-CN"/>
              </w:rPr>
              <w:t>最大化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1219" w:type="dxa"/>
            <w:gridSpan w:val="2"/>
            <w:vMerge w:val="continue"/>
            <w:tcBorders>
              <w:tl2br w:val="nil"/>
              <w:tr2bl w:val="nil"/>
            </w:tcBorders>
            <w:vAlign w:val="center"/>
          </w:tcPr>
          <w:p>
            <w:pPr>
              <w:jc w:val="center"/>
              <w:rPr>
                <w:rFonts w:ascii="宋体" w:cs="宋体"/>
                <w:sz w:val="20"/>
              </w:rPr>
            </w:pPr>
          </w:p>
        </w:tc>
        <w:tc>
          <w:tcPr>
            <w:tcW w:w="1635" w:type="dxa"/>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社会效益指标</w:t>
            </w:r>
          </w:p>
        </w:tc>
        <w:tc>
          <w:tcPr>
            <w:tcW w:w="2040" w:type="dxa"/>
            <w:tcBorders>
              <w:tl2br w:val="nil"/>
              <w:tr2bl w:val="nil"/>
            </w:tcBorders>
            <w:vAlign w:val="center"/>
          </w:tcPr>
          <w:p>
            <w:pPr>
              <w:widowControl/>
              <w:jc w:val="left"/>
              <w:textAlignment w:val="center"/>
              <w:rPr>
                <w:rFonts w:hint="default" w:ascii="宋体" w:eastAsia="宋体" w:cs="宋体"/>
                <w:sz w:val="20"/>
                <w:lang w:val="en-US" w:eastAsia="zh-CN"/>
              </w:rPr>
            </w:pPr>
            <w:r>
              <w:rPr>
                <w:rFonts w:hint="eastAsia" w:ascii="宋体" w:hAnsi="宋体" w:eastAsia="宋体" w:cs="宋体"/>
                <w:color w:val="000000"/>
                <w:kern w:val="0"/>
                <w:sz w:val="20"/>
                <w:szCs w:val="20"/>
              </w:rPr>
              <w:t>指标：</w:t>
            </w:r>
            <w:r>
              <w:rPr>
                <w:rFonts w:hint="eastAsia" w:ascii="宋体" w:hAnsi="宋体" w:eastAsia="宋体" w:cs="宋体"/>
                <w:color w:val="000000"/>
                <w:kern w:val="0"/>
                <w:sz w:val="20"/>
                <w:szCs w:val="20"/>
                <w:lang w:val="en-US" w:eastAsia="zh-CN"/>
              </w:rPr>
              <w:t>对工作运行的改善或提升程度</w:t>
            </w:r>
          </w:p>
        </w:tc>
        <w:tc>
          <w:tcPr>
            <w:tcW w:w="3688" w:type="dxa"/>
            <w:gridSpan w:val="2"/>
            <w:tcBorders>
              <w:tl2br w:val="nil"/>
              <w:tr2bl w:val="nil"/>
            </w:tcBorders>
            <w:vAlign w:val="center"/>
          </w:tcPr>
          <w:p>
            <w:pPr>
              <w:jc w:val="center"/>
              <w:rPr>
                <w:rFonts w:hint="default" w:ascii="宋体" w:cs="宋体" w:eastAsiaTheme="minorEastAsia"/>
                <w:sz w:val="20"/>
                <w:lang w:val="en-US" w:eastAsia="zh-CN"/>
              </w:rPr>
            </w:pPr>
            <w:r>
              <w:rPr>
                <w:rFonts w:hint="eastAsia" w:ascii="宋体" w:cs="宋体"/>
                <w:sz w:val="20"/>
                <w:lang w:val="en-US" w:eastAsia="zh-CN"/>
              </w:rPr>
              <w:t>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1219" w:type="dxa"/>
            <w:gridSpan w:val="2"/>
            <w:vMerge w:val="continue"/>
            <w:tcBorders>
              <w:tl2br w:val="nil"/>
              <w:tr2bl w:val="nil"/>
            </w:tcBorders>
            <w:vAlign w:val="center"/>
          </w:tcPr>
          <w:p>
            <w:pPr>
              <w:jc w:val="center"/>
              <w:rPr>
                <w:rFonts w:ascii="宋体" w:cs="宋体"/>
                <w:sz w:val="20"/>
              </w:rPr>
            </w:pPr>
          </w:p>
        </w:tc>
        <w:tc>
          <w:tcPr>
            <w:tcW w:w="1635" w:type="dxa"/>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生态效益指标</w:t>
            </w:r>
          </w:p>
        </w:tc>
        <w:tc>
          <w:tcPr>
            <w:tcW w:w="2040" w:type="dxa"/>
            <w:tcBorders>
              <w:tl2br w:val="nil"/>
              <w:tr2bl w:val="nil"/>
            </w:tcBorders>
            <w:vAlign w:val="center"/>
          </w:tcPr>
          <w:p>
            <w:pPr>
              <w:widowControl/>
              <w:jc w:val="left"/>
              <w:textAlignment w:val="center"/>
              <w:rPr>
                <w:rFonts w:hint="default" w:ascii="宋体" w:eastAsia="宋体" w:cs="宋体"/>
                <w:sz w:val="20"/>
                <w:lang w:val="en-US" w:eastAsia="zh-CN"/>
              </w:rPr>
            </w:pPr>
            <w:r>
              <w:rPr>
                <w:rFonts w:hint="eastAsia" w:ascii="宋体" w:hAnsi="宋体" w:eastAsia="宋体" w:cs="宋体"/>
                <w:color w:val="000000"/>
                <w:kern w:val="0"/>
                <w:sz w:val="20"/>
                <w:szCs w:val="20"/>
              </w:rPr>
              <w:t>指标：</w:t>
            </w:r>
            <w:r>
              <w:rPr>
                <w:rFonts w:hint="eastAsia" w:ascii="宋体" w:hAnsi="宋体" w:eastAsia="宋体" w:cs="宋体"/>
                <w:color w:val="000000"/>
                <w:kern w:val="0"/>
                <w:sz w:val="20"/>
                <w:szCs w:val="20"/>
                <w:lang w:val="en-US" w:eastAsia="zh-CN"/>
              </w:rPr>
              <w:t>人均综合成本</w:t>
            </w:r>
          </w:p>
        </w:tc>
        <w:tc>
          <w:tcPr>
            <w:tcW w:w="3688" w:type="dxa"/>
            <w:gridSpan w:val="2"/>
            <w:tcBorders>
              <w:tl2br w:val="nil"/>
              <w:tr2bl w:val="nil"/>
            </w:tcBorders>
            <w:vAlign w:val="center"/>
          </w:tcPr>
          <w:p>
            <w:pPr>
              <w:jc w:val="center"/>
              <w:rPr>
                <w:rFonts w:hint="default" w:ascii="宋体" w:cs="宋体" w:eastAsiaTheme="minorEastAsia"/>
                <w:sz w:val="20"/>
                <w:lang w:val="en-US" w:eastAsia="zh-CN"/>
              </w:rPr>
            </w:pPr>
            <w:r>
              <w:rPr>
                <w:rFonts w:hint="eastAsia" w:ascii="宋体" w:cs="宋体"/>
                <w:sz w:val="20"/>
                <w:lang w:val="en-US" w:eastAsia="zh-CN"/>
              </w:rPr>
              <w:t>降低节约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38" w:type="dxa"/>
            <w:vMerge w:val="continue"/>
            <w:tcBorders>
              <w:tl2br w:val="nil"/>
              <w:tr2bl w:val="nil"/>
            </w:tcBorders>
            <w:vAlign w:val="center"/>
          </w:tcPr>
          <w:p>
            <w:pPr>
              <w:jc w:val="center"/>
              <w:rPr>
                <w:rFonts w:ascii="宋体" w:cs="宋体"/>
                <w:sz w:val="20"/>
              </w:rPr>
            </w:pPr>
          </w:p>
        </w:tc>
        <w:tc>
          <w:tcPr>
            <w:tcW w:w="1219" w:type="dxa"/>
            <w:gridSpan w:val="2"/>
            <w:vMerge w:val="continue"/>
            <w:tcBorders>
              <w:tl2br w:val="nil"/>
              <w:tr2bl w:val="nil"/>
            </w:tcBorders>
            <w:vAlign w:val="center"/>
          </w:tcPr>
          <w:p>
            <w:pPr>
              <w:jc w:val="center"/>
              <w:rPr>
                <w:rFonts w:ascii="宋体" w:cs="宋体"/>
                <w:sz w:val="20"/>
              </w:rPr>
            </w:pPr>
          </w:p>
        </w:tc>
        <w:tc>
          <w:tcPr>
            <w:tcW w:w="1635" w:type="dxa"/>
            <w:tcBorders>
              <w:tl2br w:val="nil"/>
              <w:tr2bl w:val="nil"/>
            </w:tcBorders>
            <w:vAlign w:val="center"/>
          </w:tcPr>
          <w:p>
            <w:pPr>
              <w:widowControl/>
              <w:spacing w:line="200" w:lineRule="exact"/>
              <w:jc w:val="center"/>
              <w:rPr>
                <w:rFonts w:ascii="宋体" w:hAnsi="宋体" w:eastAsia="宋体" w:cs="宋体"/>
                <w:sz w:val="20"/>
              </w:rPr>
            </w:pPr>
            <w:r>
              <w:rPr>
                <w:rFonts w:hint="eastAsia" w:ascii="宋体" w:hAnsi="宋体" w:eastAsia="宋体" w:cs="宋体"/>
                <w:sz w:val="20"/>
              </w:rPr>
              <w:t>可持续影响指标</w:t>
            </w:r>
          </w:p>
        </w:tc>
        <w:tc>
          <w:tcPr>
            <w:tcW w:w="2040" w:type="dxa"/>
            <w:tcBorders>
              <w:tl2br w:val="nil"/>
              <w:tr2bl w:val="nil"/>
            </w:tcBorders>
            <w:vAlign w:val="center"/>
          </w:tcPr>
          <w:p>
            <w:pPr>
              <w:widowControl/>
              <w:jc w:val="left"/>
              <w:textAlignment w:val="center"/>
              <w:rPr>
                <w:rFonts w:hint="eastAsia" w:ascii="宋体" w:hAnsi="宋体" w:eastAsia="宋体" w:cs="宋体"/>
                <w:sz w:val="20"/>
                <w:lang w:val="en-US" w:eastAsia="zh-CN"/>
              </w:rPr>
            </w:pPr>
            <w:r>
              <w:rPr>
                <w:rFonts w:hint="eastAsia" w:ascii="宋体" w:hAnsi="宋体" w:eastAsia="宋体" w:cs="宋体"/>
                <w:color w:val="000000"/>
                <w:kern w:val="0"/>
                <w:sz w:val="20"/>
                <w:szCs w:val="20"/>
              </w:rPr>
              <w:t>指标：</w:t>
            </w:r>
            <w:r>
              <w:rPr>
                <w:rFonts w:hint="eastAsia" w:ascii="宋体" w:hAnsi="宋体" w:eastAsia="宋体" w:cs="宋体"/>
                <w:color w:val="000000"/>
                <w:kern w:val="0"/>
                <w:sz w:val="20"/>
                <w:szCs w:val="20"/>
                <w:lang w:val="en-US" w:eastAsia="zh-CN"/>
              </w:rPr>
              <w:t>可持续性</w:t>
            </w:r>
          </w:p>
        </w:tc>
        <w:tc>
          <w:tcPr>
            <w:tcW w:w="3688" w:type="dxa"/>
            <w:gridSpan w:val="2"/>
            <w:tcBorders>
              <w:tl2br w:val="nil"/>
              <w:tr2bl w:val="nil"/>
            </w:tcBorders>
            <w:vAlign w:val="center"/>
          </w:tcPr>
          <w:p>
            <w:pPr>
              <w:jc w:val="center"/>
              <w:rPr>
                <w:rFonts w:hint="default" w:ascii="宋体" w:cs="宋体" w:eastAsiaTheme="minorEastAsia"/>
                <w:sz w:val="20"/>
                <w:lang w:val="en-US" w:eastAsia="zh-CN"/>
              </w:rPr>
            </w:pPr>
            <w:r>
              <w:rPr>
                <w:rFonts w:hint="eastAsia" w:ascii="宋体" w:cs="宋体"/>
                <w:sz w:val="20"/>
                <w:lang w:val="en-US" w:eastAsia="zh-CN"/>
              </w:rPr>
              <w:t>保障住房公积金工作有序持续运行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1219" w:type="dxa"/>
            <w:gridSpan w:val="2"/>
            <w:tcBorders>
              <w:tl2br w:val="nil"/>
              <w:tr2bl w:val="nil"/>
            </w:tcBorders>
            <w:vAlign w:val="center"/>
          </w:tcPr>
          <w:p>
            <w:pPr>
              <w:widowControl/>
              <w:spacing w:line="200" w:lineRule="exact"/>
              <w:jc w:val="center"/>
              <w:rPr>
                <w:rFonts w:ascii="宋体" w:hAnsi="宋体" w:eastAsia="宋体" w:cs="宋体"/>
                <w:sz w:val="20"/>
              </w:rPr>
            </w:pPr>
            <w:r>
              <w:rPr>
                <w:rFonts w:hint="eastAsia" w:ascii="宋体" w:hAnsi="宋体" w:eastAsia="宋体" w:cs="宋体"/>
                <w:sz w:val="20"/>
              </w:rPr>
              <w:t>满意度指标</w:t>
            </w:r>
          </w:p>
        </w:tc>
        <w:tc>
          <w:tcPr>
            <w:tcW w:w="1635" w:type="dxa"/>
            <w:tcBorders>
              <w:tl2br w:val="nil"/>
              <w:tr2bl w:val="nil"/>
            </w:tcBorders>
            <w:vAlign w:val="center"/>
          </w:tcPr>
          <w:p>
            <w:pPr>
              <w:widowControl/>
              <w:spacing w:line="200" w:lineRule="exact"/>
              <w:jc w:val="center"/>
              <w:rPr>
                <w:rFonts w:ascii="宋体" w:hAnsi="宋体" w:eastAsia="宋体" w:cs="宋体"/>
                <w:sz w:val="20"/>
              </w:rPr>
            </w:pPr>
            <w:r>
              <w:rPr>
                <w:rFonts w:hint="eastAsia" w:ascii="宋体" w:hAnsi="宋体" w:eastAsia="宋体" w:cs="宋体"/>
                <w:sz w:val="20"/>
              </w:rPr>
              <w:t>满意度指标</w:t>
            </w:r>
          </w:p>
        </w:tc>
        <w:tc>
          <w:tcPr>
            <w:tcW w:w="2040" w:type="dxa"/>
            <w:tcBorders>
              <w:tl2br w:val="nil"/>
              <w:tr2bl w:val="nil"/>
            </w:tcBorders>
            <w:vAlign w:val="center"/>
          </w:tcPr>
          <w:p>
            <w:pPr>
              <w:widowControl/>
              <w:jc w:val="left"/>
              <w:textAlignment w:val="center"/>
              <w:rPr>
                <w:rFonts w:hint="eastAsia" w:ascii="宋体" w:hAnsi="宋体" w:eastAsia="宋体" w:cs="宋体"/>
                <w:sz w:val="20"/>
                <w:lang w:val="en-US" w:eastAsia="zh-CN"/>
              </w:rPr>
            </w:pPr>
            <w:r>
              <w:rPr>
                <w:rFonts w:hint="eastAsia" w:ascii="宋体" w:hAnsi="宋体" w:eastAsia="宋体" w:cs="宋体"/>
                <w:color w:val="000000"/>
                <w:kern w:val="0"/>
                <w:sz w:val="20"/>
                <w:szCs w:val="20"/>
              </w:rPr>
              <w:t>指标：</w:t>
            </w:r>
            <w:r>
              <w:rPr>
                <w:rFonts w:hint="eastAsia" w:ascii="宋体" w:hAnsi="宋体" w:eastAsia="宋体" w:cs="宋体"/>
                <w:color w:val="000000"/>
                <w:kern w:val="0"/>
                <w:sz w:val="20"/>
                <w:szCs w:val="20"/>
                <w:lang w:val="en-US" w:eastAsia="zh-CN"/>
              </w:rPr>
              <w:t>满意度</w:t>
            </w:r>
          </w:p>
        </w:tc>
        <w:tc>
          <w:tcPr>
            <w:tcW w:w="3688" w:type="dxa"/>
            <w:gridSpan w:val="2"/>
            <w:tcBorders>
              <w:tl2br w:val="nil"/>
              <w:tr2bl w:val="nil"/>
            </w:tcBorders>
            <w:vAlign w:val="center"/>
          </w:tcPr>
          <w:p>
            <w:pPr>
              <w:jc w:val="center"/>
              <w:rPr>
                <w:rFonts w:hint="default" w:ascii="宋体" w:cs="宋体"/>
                <w:sz w:val="20"/>
                <w:lang w:val="en-US"/>
              </w:rPr>
            </w:pPr>
            <w:r>
              <w:rPr>
                <w:rFonts w:hint="eastAsia" w:ascii="宋体" w:cs="宋体"/>
                <w:sz w:val="20"/>
              </w:rPr>
              <w:t>≥</w:t>
            </w:r>
            <w:r>
              <w:rPr>
                <w:rFonts w:hint="default" w:ascii="宋体" w:cs="宋体"/>
                <w:sz w:val="20"/>
                <w:lang w:val="en-US"/>
              </w:rPr>
              <w:t>99%</w:t>
            </w:r>
          </w:p>
        </w:tc>
      </w:tr>
    </w:tbl>
    <w:p>
      <w:pPr>
        <w:ind w:firstLine="420" w:firstLineChars="200"/>
      </w:pPr>
    </w:p>
    <w:p>
      <w:pPr>
        <w:ind w:firstLine="420" w:firstLineChars="200"/>
      </w:pP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2、“</w:t>
      </w:r>
      <w:r>
        <w:rPr>
          <w:rFonts w:hint="eastAsia" w:ascii="TimesNewRoman" w:hAnsi="TimesNewRoman" w:eastAsia="仿宋_GB2312" w:cs="TimesNewRoman"/>
          <w:kern w:val="0"/>
          <w:sz w:val="32"/>
          <w:szCs w:val="32"/>
          <w:lang w:val="en-US" w:eastAsia="zh-CN"/>
        </w:rPr>
        <w:t>单位劳务保障支出</w:t>
      </w:r>
      <w:r>
        <w:rPr>
          <w:rFonts w:hint="eastAsia" w:ascii="TimesNewRoman" w:hAnsi="TimesNewRoman" w:eastAsia="仿宋_GB2312" w:cs="TimesNewRoman"/>
          <w:kern w:val="0"/>
          <w:sz w:val="32"/>
          <w:szCs w:val="32"/>
        </w:rPr>
        <w:t>”项目。</w:t>
      </w:r>
    </w:p>
    <w:p>
      <w:pPr>
        <w:numPr>
          <w:ilvl w:val="0"/>
          <w:numId w:val="0"/>
        </w:numPr>
        <w:ind w:firstLine="640" w:firstLineChars="200"/>
        <w:jc w:val="left"/>
        <w:rPr>
          <w:rFonts w:hint="default" w:ascii="仿宋_GB2312" w:hAnsi="仿宋_GB2312" w:eastAsia="仿宋_GB2312" w:cs="仿宋_GB2312"/>
          <w:b w:val="0"/>
          <w:bCs w:val="0"/>
          <w:sz w:val="32"/>
          <w:szCs w:val="32"/>
          <w:lang w:val="en-US" w:eastAsia="zh-CN"/>
        </w:rPr>
      </w:pPr>
      <w:r>
        <w:rPr>
          <w:rFonts w:hint="eastAsia" w:ascii="TimesNewRoman" w:hAnsi="TimesNewRoman" w:eastAsia="仿宋_GB2312" w:cs="TimesNewRoman"/>
          <w:kern w:val="0"/>
          <w:sz w:val="32"/>
          <w:szCs w:val="32"/>
        </w:rPr>
        <w:t>（1）项目概述。</w:t>
      </w:r>
      <w:r>
        <w:rPr>
          <w:rFonts w:hint="eastAsia" w:ascii="仿宋" w:hAnsi="仿宋" w:eastAsia="仿宋" w:cs="仿宋"/>
          <w:b w:val="0"/>
          <w:bCs w:val="0"/>
          <w:sz w:val="32"/>
          <w:szCs w:val="32"/>
          <w:lang w:eastAsia="zh-CN"/>
        </w:rPr>
        <w:t>根据单位运行需要，为聘用人员发放工资。</w:t>
      </w:r>
      <w:r>
        <w:rPr>
          <w:rFonts w:hint="eastAsia" w:ascii="仿宋_GB2312" w:hAnsi="仿宋_GB2312" w:eastAsia="仿宋_GB2312" w:cs="仿宋_GB2312"/>
          <w:b w:val="0"/>
          <w:bCs w:val="0"/>
          <w:sz w:val="32"/>
          <w:szCs w:val="32"/>
          <w:lang w:val="en-US" w:eastAsia="zh-CN"/>
        </w:rPr>
        <w:t>为进一步提升淮北市住房公积金管理中心工作效能和服务水平，巩固淮北市住房公积金“四统一”成果，缓解人力资源压力，根据科室岗位和职能分工，市公积金中心严格按规定聘用工作人员开展相关工作，保障淮北市住房公积金管理中心正常开展工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 w:hAnsi="仿宋" w:eastAsia="仿宋" w:cs="仿宋"/>
          <w:sz w:val="32"/>
          <w:szCs w:val="32"/>
        </w:rPr>
      </w:pPr>
      <w:r>
        <w:rPr>
          <w:rFonts w:hint="eastAsia" w:ascii="TimesNewRoman" w:hAnsi="TimesNewRoman" w:eastAsia="仿宋_GB2312" w:cs="TimesNewRoman"/>
          <w:kern w:val="0"/>
          <w:sz w:val="32"/>
          <w:szCs w:val="32"/>
        </w:rPr>
        <w:t>（2）立项依据。</w:t>
      </w:r>
      <w:r>
        <w:rPr>
          <w:rFonts w:hint="eastAsia" w:ascii="仿宋_GB2312" w:hAnsi="仿宋_GB2312" w:eastAsia="仿宋_GB2312" w:cs="仿宋_GB2312"/>
          <w:b w:val="0"/>
          <w:bCs w:val="0"/>
          <w:sz w:val="32"/>
          <w:szCs w:val="32"/>
          <w:lang w:val="en-US" w:eastAsia="zh-CN"/>
        </w:rPr>
        <w:t>2023年，淮北市住房公积金管理中心顺利完成行业分中心移交归并工作，为了保证住房公积金业务有序开展，缓解因分中心收归合并带来的人力资源压力，确保住房公积金相关业务政策、办理模式、核算和管理工作的成功衔接，实现平稳、有序过渡，巩固“四统一”成果，进一步提升中心管理和服务水平，</w:t>
      </w:r>
      <w:r>
        <w:rPr>
          <w:rFonts w:hint="eastAsia" w:ascii="仿宋" w:hAnsi="仿宋" w:eastAsia="仿宋" w:cs="仿宋"/>
          <w:sz w:val="32"/>
          <w:szCs w:val="32"/>
          <w:lang w:eastAsia="zh-CN"/>
        </w:rPr>
        <w:t>降低廉政风险，</w:t>
      </w:r>
      <w:r>
        <w:rPr>
          <w:rFonts w:hint="eastAsia" w:ascii="仿宋" w:hAnsi="仿宋" w:eastAsia="仿宋" w:cs="仿宋"/>
          <w:sz w:val="32"/>
          <w:szCs w:val="32"/>
          <w:lang w:val="en-US" w:eastAsia="zh-CN"/>
        </w:rPr>
        <w:t>市公积金中心</w:t>
      </w:r>
      <w:r>
        <w:rPr>
          <w:rFonts w:hint="eastAsia" w:ascii="仿宋" w:hAnsi="仿宋" w:eastAsia="仿宋" w:cs="仿宋"/>
          <w:sz w:val="32"/>
          <w:szCs w:val="32"/>
          <w:lang w:eastAsia="zh-CN"/>
        </w:rPr>
        <w:t>按规定聘用</w:t>
      </w:r>
      <w:r>
        <w:rPr>
          <w:rFonts w:hint="eastAsia" w:ascii="仿宋" w:hAnsi="仿宋" w:eastAsia="仿宋" w:cs="仿宋"/>
          <w:sz w:val="32"/>
          <w:szCs w:val="32"/>
          <w:lang w:val="en-US" w:eastAsia="zh-CN"/>
        </w:rPr>
        <w:t>工作人员在中心开展相关</w:t>
      </w:r>
      <w:r>
        <w:rPr>
          <w:rFonts w:hint="eastAsia" w:ascii="仿宋" w:hAnsi="仿宋" w:eastAsia="仿宋" w:cs="仿宋"/>
          <w:sz w:val="32"/>
          <w:szCs w:val="32"/>
        </w:rPr>
        <w:t>工作。</w:t>
      </w:r>
    </w:p>
    <w:p>
      <w:pPr>
        <w:ind w:firstLine="640" w:firstLineChars="200"/>
        <w:rPr>
          <w:rFonts w:hint="default" w:ascii="TimesNewRoman" w:hAnsi="TimesNewRoman" w:eastAsia="仿宋_GB2312" w:cs="TimesNewRoman"/>
          <w:kern w:val="0"/>
          <w:sz w:val="32"/>
          <w:szCs w:val="32"/>
          <w:lang w:val="en-US" w:eastAsia="zh-CN"/>
        </w:rPr>
      </w:pPr>
      <w:r>
        <w:rPr>
          <w:rFonts w:hint="eastAsia" w:ascii="TimesNewRoman" w:hAnsi="TimesNewRoman" w:eastAsia="仿宋_GB2312" w:cs="TimesNewRoman"/>
          <w:kern w:val="0"/>
          <w:sz w:val="32"/>
          <w:szCs w:val="32"/>
        </w:rPr>
        <w:t>（3）实施主体</w:t>
      </w:r>
      <w:r>
        <w:rPr>
          <w:rFonts w:hint="eastAsia" w:ascii="TimesNewRoman" w:hAnsi="TimesNewRoman" w:eastAsia="仿宋_GB2312" w:cs="TimesNewRoman"/>
          <w:kern w:val="0"/>
          <w:sz w:val="32"/>
          <w:szCs w:val="32"/>
          <w:lang w:eastAsia="zh-CN"/>
        </w:rPr>
        <w:t>：</w:t>
      </w:r>
      <w:r>
        <w:rPr>
          <w:rFonts w:hint="eastAsia" w:ascii="TimesNewRoman" w:hAnsi="TimesNewRoman" w:eastAsia="仿宋_GB2312" w:cs="TimesNewRoman"/>
          <w:kern w:val="0"/>
          <w:sz w:val="32"/>
          <w:szCs w:val="32"/>
          <w:lang w:val="en-US" w:eastAsia="zh-CN"/>
        </w:rPr>
        <w:t>淮北市住房公积金管理中心</w:t>
      </w:r>
    </w:p>
    <w:p>
      <w:pPr>
        <w:ind w:firstLine="640" w:firstLineChars="200"/>
        <w:rPr>
          <w:rFonts w:hint="default" w:ascii="TimesNewRoman" w:hAnsi="TimesNewRoman" w:eastAsia="仿宋_GB2312" w:cs="TimesNewRoman"/>
          <w:kern w:val="0"/>
          <w:sz w:val="32"/>
          <w:szCs w:val="32"/>
          <w:lang w:val="en-US" w:eastAsia="zh-CN"/>
        </w:rPr>
      </w:pPr>
      <w:r>
        <w:rPr>
          <w:rFonts w:hint="eastAsia" w:ascii="TimesNewRoman" w:hAnsi="TimesNewRoman" w:eastAsia="仿宋_GB2312" w:cs="TimesNewRoman"/>
          <w:kern w:val="0"/>
          <w:sz w:val="32"/>
          <w:szCs w:val="32"/>
        </w:rPr>
        <w:t>（4）起止时间</w:t>
      </w:r>
      <w:r>
        <w:rPr>
          <w:rFonts w:hint="eastAsia" w:ascii="TimesNewRoman" w:hAnsi="TimesNewRoman" w:eastAsia="仿宋_GB2312" w:cs="TimesNewRoman"/>
          <w:kern w:val="0"/>
          <w:sz w:val="32"/>
          <w:szCs w:val="32"/>
          <w:lang w:eastAsia="zh-CN"/>
        </w:rPr>
        <w:t>：</w:t>
      </w:r>
      <w:r>
        <w:rPr>
          <w:rFonts w:hint="default" w:ascii="TimesNewRoman" w:hAnsi="TimesNewRoman" w:eastAsia="仿宋_GB2312" w:cs="TimesNewRoman"/>
          <w:kern w:val="0"/>
          <w:sz w:val="32"/>
          <w:szCs w:val="32"/>
          <w:lang w:val="en-US" w:eastAsia="zh-CN"/>
        </w:rPr>
        <w:t>2024</w:t>
      </w:r>
      <w:r>
        <w:rPr>
          <w:rFonts w:hint="eastAsia" w:ascii="TimesNewRoman" w:hAnsi="TimesNewRoman" w:eastAsia="仿宋_GB2312" w:cs="TimesNewRoman"/>
          <w:kern w:val="0"/>
          <w:sz w:val="32"/>
          <w:szCs w:val="32"/>
          <w:lang w:val="en-US" w:eastAsia="zh-CN"/>
        </w:rPr>
        <w:t>年</w:t>
      </w:r>
      <w:r>
        <w:rPr>
          <w:rFonts w:hint="default" w:ascii="TimesNewRoman" w:hAnsi="TimesNewRoman" w:eastAsia="仿宋_GB2312" w:cs="TimesNewRoman"/>
          <w:kern w:val="0"/>
          <w:sz w:val="32"/>
          <w:szCs w:val="32"/>
          <w:lang w:val="en-US" w:eastAsia="zh-CN"/>
        </w:rPr>
        <w:t>1-12</w:t>
      </w:r>
      <w:r>
        <w:rPr>
          <w:rFonts w:hint="eastAsia" w:ascii="TimesNewRoman" w:hAnsi="TimesNewRoman" w:eastAsia="仿宋_GB2312" w:cs="TimesNewRoman"/>
          <w:kern w:val="0"/>
          <w:sz w:val="32"/>
          <w:szCs w:val="32"/>
          <w:lang w:val="en-US" w:eastAsia="zh-CN"/>
        </w:rPr>
        <w:t>月</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（5）项目内容。</w:t>
      </w:r>
      <w:r>
        <w:rPr>
          <w:rFonts w:hint="eastAsia" w:ascii="仿宋" w:hAnsi="仿宋" w:eastAsia="仿宋" w:cs="仿宋"/>
          <w:b w:val="0"/>
          <w:bCs w:val="0"/>
          <w:sz w:val="32"/>
          <w:szCs w:val="32"/>
          <w:lang w:eastAsia="zh-CN"/>
        </w:rPr>
        <w:t>根据单位运行需要，为聘用人员发放工资。</w:t>
      </w:r>
    </w:p>
    <w:p>
      <w:pPr>
        <w:ind w:firstLine="640" w:firstLineChars="200"/>
        <w:rPr>
          <w:rFonts w:hint="eastAsia" w:ascii="TimesNewRoman" w:hAnsi="TimesNewRoman" w:eastAsia="仿宋_GB2312" w:cs="TimesNewRoman"/>
          <w:kern w:val="0"/>
          <w:sz w:val="32"/>
          <w:szCs w:val="32"/>
          <w:lang w:val="en-US" w:eastAsia="zh-CN"/>
        </w:rPr>
      </w:pPr>
      <w:r>
        <w:rPr>
          <w:rFonts w:hint="eastAsia" w:ascii="TimesNewRoman" w:hAnsi="TimesNewRoman" w:eastAsia="仿宋_GB2312" w:cs="TimesNewRoman"/>
          <w:kern w:val="0"/>
          <w:sz w:val="32"/>
          <w:szCs w:val="32"/>
        </w:rPr>
        <w:t>（6）年度预算安排</w:t>
      </w:r>
      <w:r>
        <w:rPr>
          <w:rFonts w:hint="default" w:ascii="TimesNewRoman" w:hAnsi="TimesNewRoman" w:eastAsia="仿宋_GB2312" w:cs="TimesNewRoman"/>
          <w:kern w:val="0"/>
          <w:sz w:val="32"/>
          <w:szCs w:val="32"/>
          <w:lang w:val="en-US"/>
        </w:rPr>
        <w:t>125</w:t>
      </w:r>
      <w:r>
        <w:rPr>
          <w:rFonts w:hint="eastAsia" w:ascii="TimesNewRoman" w:hAnsi="TimesNewRoman" w:eastAsia="仿宋_GB2312" w:cs="TimesNewRoman"/>
          <w:kern w:val="0"/>
          <w:sz w:val="32"/>
          <w:szCs w:val="32"/>
          <w:lang w:val="en-US" w:eastAsia="zh-CN"/>
        </w:rPr>
        <w:t>万元。</w:t>
      </w:r>
    </w:p>
    <w:p>
      <w:pPr>
        <w:ind w:firstLine="640" w:firstLineChars="200"/>
        <w:rPr>
          <w:rFonts w:hint="default" w:ascii="TimesNewRoman" w:hAnsi="TimesNewRoman" w:eastAsia="仿宋_GB2312" w:cs="TimesNewRoman"/>
          <w:kern w:val="0"/>
          <w:sz w:val="32"/>
          <w:szCs w:val="32"/>
          <w:lang w:val="en-US" w:eastAsia="zh-CN"/>
        </w:rPr>
      </w:pPr>
      <w:r>
        <w:rPr>
          <w:rFonts w:hint="eastAsia" w:ascii="TimesNewRoman" w:hAnsi="TimesNewRoman" w:eastAsia="仿宋_GB2312" w:cs="TimesNewRoman"/>
          <w:kern w:val="0"/>
          <w:sz w:val="32"/>
          <w:szCs w:val="32"/>
        </w:rPr>
        <w:t>（7）绩效目标。</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723"/>
        <w:gridCol w:w="282"/>
        <w:gridCol w:w="799"/>
        <w:gridCol w:w="2790"/>
        <w:gridCol w:w="1608"/>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9020" w:type="dxa"/>
            <w:gridSpan w:val="7"/>
            <w:tcBorders>
              <w:top w:val="nil"/>
              <w:left w:val="nil"/>
              <w:bottom w:val="nil"/>
              <w:right w:val="nil"/>
            </w:tcBorders>
            <w:vAlign w:val="center"/>
          </w:tcPr>
          <w:p>
            <w:pPr>
              <w:widowControl/>
              <w:jc w:val="center"/>
              <w:textAlignment w:val="center"/>
              <w:rPr>
                <w:rFonts w:ascii="宋体" w:cs="宋体"/>
                <w:b/>
                <w:bCs/>
                <w:szCs w:val="32"/>
              </w:rPr>
            </w:pPr>
            <w:r>
              <w:rPr>
                <w:rFonts w:hint="eastAsia" w:ascii="宋体" w:hAnsi="宋体" w:eastAsia="宋体" w:cs="宋体"/>
                <w:b/>
                <w:color w:val="000000"/>
                <w:kern w:val="0"/>
                <w:sz w:val="28"/>
                <w:szCs w:val="28"/>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020" w:type="dxa"/>
            <w:gridSpan w:val="7"/>
            <w:tcBorders>
              <w:top w:val="nil"/>
              <w:left w:val="nil"/>
              <w:right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 xml:space="preserve"> （2024年度）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项目名称</w:t>
            </w:r>
          </w:p>
        </w:tc>
        <w:tc>
          <w:tcPr>
            <w:tcW w:w="7577" w:type="dxa"/>
            <w:gridSpan w:val="4"/>
            <w:tcBorders>
              <w:tl2br w:val="nil"/>
              <w:tr2bl w:val="nil"/>
            </w:tcBorders>
            <w:vAlign w:val="center"/>
          </w:tcPr>
          <w:p>
            <w:pPr>
              <w:ind w:firstLine="2200" w:firstLineChars="1100"/>
              <w:jc w:val="both"/>
              <w:rPr>
                <w:rFonts w:hint="default" w:ascii="宋体" w:cs="宋体" w:eastAsiaTheme="minorEastAsia"/>
                <w:sz w:val="20"/>
                <w:lang w:val="en-US" w:eastAsia="zh-CN"/>
              </w:rPr>
            </w:pPr>
            <w:r>
              <w:rPr>
                <w:rFonts w:hint="eastAsia" w:ascii="宋体" w:cs="宋体"/>
                <w:sz w:val="20"/>
                <w:lang w:val="en-US" w:eastAsia="zh-CN"/>
              </w:rPr>
              <w:t>单位劳务保障支出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443" w:type="dxa"/>
            <w:gridSpan w:val="3"/>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主管部门   及代码</w:t>
            </w:r>
          </w:p>
        </w:tc>
        <w:tc>
          <w:tcPr>
            <w:tcW w:w="3589" w:type="dxa"/>
            <w:gridSpan w:val="2"/>
            <w:tcBorders>
              <w:tl2br w:val="nil"/>
              <w:tr2bl w:val="nil"/>
            </w:tcBorders>
            <w:vAlign w:val="center"/>
          </w:tcPr>
          <w:p>
            <w:pPr>
              <w:jc w:val="center"/>
              <w:rPr>
                <w:rFonts w:hint="default" w:ascii="宋体" w:cs="宋体" w:eastAsiaTheme="minorEastAsia"/>
                <w:sz w:val="20"/>
                <w:lang w:val="en-US" w:eastAsia="zh-CN"/>
              </w:rPr>
            </w:pPr>
            <w:r>
              <w:rPr>
                <w:rFonts w:hint="eastAsia" w:ascii="宋体" w:cs="宋体"/>
                <w:sz w:val="20"/>
                <w:lang w:val="en-US" w:eastAsia="zh-CN"/>
              </w:rPr>
              <w:t>淮北市住房公积金管理中心</w:t>
            </w:r>
          </w:p>
        </w:tc>
        <w:tc>
          <w:tcPr>
            <w:tcW w:w="1608" w:type="dxa"/>
            <w:tcBorders>
              <w:tl2br w:val="nil"/>
              <w:tr2bl w:val="nil"/>
            </w:tcBorders>
            <w:vAlign w:val="center"/>
          </w:tcPr>
          <w:p>
            <w:pPr>
              <w:widowControl/>
              <w:jc w:val="center"/>
              <w:textAlignment w:val="center"/>
            </w:pPr>
            <w:r>
              <w:rPr>
                <w:rFonts w:hint="eastAsia" w:ascii="宋体" w:hAnsi="宋体" w:eastAsia="宋体" w:cs="宋体"/>
                <w:color w:val="000000"/>
                <w:kern w:val="0"/>
                <w:sz w:val="20"/>
                <w:szCs w:val="20"/>
              </w:rPr>
              <w:t>实施单位</w:t>
            </w:r>
          </w:p>
        </w:tc>
        <w:tc>
          <w:tcPr>
            <w:tcW w:w="2380" w:type="dxa"/>
            <w:tcBorders>
              <w:tl2br w:val="nil"/>
              <w:tr2bl w:val="nil"/>
            </w:tcBorders>
            <w:vAlign w:val="center"/>
          </w:tcPr>
          <w:p>
            <w:pPr>
              <w:jc w:val="center"/>
              <w:rPr>
                <w:rFonts w:hint="default" w:eastAsiaTheme="minorEastAsia"/>
                <w:lang w:val="en-US" w:eastAsia="zh-CN"/>
              </w:rPr>
            </w:pPr>
            <w:r>
              <w:rPr>
                <w:rFonts w:hint="eastAsia"/>
                <w:sz w:val="18"/>
                <w:szCs w:val="18"/>
                <w:lang w:val="en-US" w:eastAsia="zh-CN"/>
              </w:rPr>
              <w:t>淮北市住房公积金管理中心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项目来源</w:t>
            </w:r>
          </w:p>
        </w:tc>
        <w:tc>
          <w:tcPr>
            <w:tcW w:w="3589" w:type="dxa"/>
            <w:gridSpan w:val="2"/>
            <w:tcBorders>
              <w:tl2br w:val="nil"/>
              <w:tr2bl w:val="nil"/>
            </w:tcBorders>
            <w:vAlign w:val="center"/>
          </w:tcPr>
          <w:p>
            <w:pPr>
              <w:jc w:val="center"/>
              <w:rPr>
                <w:rFonts w:hint="default" w:ascii="宋体" w:cs="宋体" w:eastAsiaTheme="minorEastAsia"/>
                <w:sz w:val="20"/>
                <w:lang w:val="en-US" w:eastAsia="zh-CN"/>
              </w:rPr>
            </w:pPr>
            <w:r>
              <w:rPr>
                <w:rFonts w:hint="eastAsia" w:ascii="宋体" w:cs="宋体"/>
                <w:sz w:val="20"/>
                <w:lang w:val="en-US" w:eastAsia="zh-CN"/>
              </w:rPr>
              <w:t>单位申报</w:t>
            </w:r>
          </w:p>
        </w:tc>
        <w:tc>
          <w:tcPr>
            <w:tcW w:w="1608" w:type="dxa"/>
            <w:tcBorders>
              <w:tl2br w:val="nil"/>
              <w:tr2bl w:val="nil"/>
            </w:tcBorders>
            <w:vAlign w:val="center"/>
          </w:tcPr>
          <w:p>
            <w:pPr>
              <w:widowControl/>
              <w:jc w:val="center"/>
              <w:textAlignment w:val="center"/>
            </w:pPr>
            <w:r>
              <w:rPr>
                <w:rFonts w:hint="eastAsia" w:ascii="宋体" w:hAnsi="宋体" w:eastAsia="宋体" w:cs="宋体"/>
                <w:color w:val="000000"/>
                <w:kern w:val="0"/>
                <w:sz w:val="20"/>
                <w:szCs w:val="20"/>
              </w:rPr>
              <w:t>项目期</w:t>
            </w:r>
          </w:p>
        </w:tc>
        <w:tc>
          <w:tcPr>
            <w:tcW w:w="2380" w:type="dxa"/>
            <w:tcBorders>
              <w:tl2br w:val="nil"/>
              <w:tr2bl w:val="nil"/>
            </w:tcBorders>
            <w:vAlign w:val="center"/>
          </w:tcPr>
          <w:p>
            <w:pPr>
              <w:jc w:val="center"/>
              <w:rPr>
                <w:rFonts w:hint="default" w:eastAsiaTheme="minorEastAsia"/>
                <w:lang w:val="en-US" w:eastAsia="zh-CN"/>
              </w:rPr>
            </w:pPr>
            <w:r>
              <w:rPr>
                <w:rFonts w:hint="eastAsia"/>
                <w:lang w:val="en-US" w:eastAsia="zh-CN"/>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项目资金</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（万元）</w:t>
            </w:r>
          </w:p>
        </w:tc>
        <w:tc>
          <w:tcPr>
            <w:tcW w:w="358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年度资金总额：</w:t>
            </w:r>
          </w:p>
        </w:tc>
        <w:tc>
          <w:tcPr>
            <w:tcW w:w="3988" w:type="dxa"/>
            <w:gridSpan w:val="2"/>
            <w:tcBorders>
              <w:tl2br w:val="nil"/>
              <w:tr2bl w:val="nil"/>
            </w:tcBorders>
            <w:vAlign w:val="center"/>
          </w:tcPr>
          <w:p>
            <w:pPr>
              <w:jc w:val="right"/>
              <w:rPr>
                <w:rFonts w:hint="default" w:ascii="宋体" w:cs="宋体"/>
                <w:sz w:val="20"/>
                <w:lang w:val="en-US"/>
              </w:rPr>
            </w:pPr>
            <w:r>
              <w:rPr>
                <w:rFonts w:hint="default" w:ascii="宋体" w:cs="宋体"/>
                <w:sz w:val="20"/>
                <w:lang w:val="en-US"/>
              </w:rPr>
              <w:t>125.00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宋体" w:cs="宋体"/>
                <w:sz w:val="20"/>
              </w:rPr>
            </w:pPr>
          </w:p>
        </w:tc>
        <w:tc>
          <w:tcPr>
            <w:tcW w:w="358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其中：财政拨款</w:t>
            </w:r>
          </w:p>
        </w:tc>
        <w:tc>
          <w:tcPr>
            <w:tcW w:w="3988" w:type="dxa"/>
            <w:gridSpan w:val="2"/>
            <w:tcBorders>
              <w:tl2br w:val="nil"/>
              <w:tr2bl w:val="nil"/>
            </w:tcBorders>
            <w:vAlign w:val="center"/>
          </w:tcPr>
          <w:p>
            <w:pPr>
              <w:jc w:val="right"/>
              <w:rPr>
                <w:rFonts w:hint="default" w:ascii="宋体" w:cs="宋体"/>
                <w:sz w:val="20"/>
                <w:lang w:val="en-US"/>
              </w:rPr>
            </w:pPr>
            <w:r>
              <w:rPr>
                <w:rFonts w:hint="default" w:ascii="宋体" w:cs="宋体"/>
                <w:sz w:val="20"/>
                <w:lang w:val="en-US"/>
              </w:rPr>
              <w:t>125.00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宋体" w:cs="宋体"/>
                <w:sz w:val="20"/>
              </w:rPr>
            </w:pPr>
          </w:p>
        </w:tc>
        <w:tc>
          <w:tcPr>
            <w:tcW w:w="358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上年结转</w:t>
            </w:r>
          </w:p>
        </w:tc>
        <w:tc>
          <w:tcPr>
            <w:tcW w:w="3988" w:type="dxa"/>
            <w:gridSpan w:val="2"/>
            <w:tcBorders>
              <w:tl2br w:val="nil"/>
              <w:tr2bl w:val="nil"/>
            </w:tcBorders>
            <w:vAlign w:val="center"/>
          </w:tcPr>
          <w:p>
            <w:pPr>
              <w:jc w:val="center"/>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宋体" w:cs="宋体"/>
                <w:sz w:val="20"/>
              </w:rPr>
            </w:pPr>
          </w:p>
        </w:tc>
        <w:tc>
          <w:tcPr>
            <w:tcW w:w="358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其他资金</w:t>
            </w:r>
          </w:p>
        </w:tc>
        <w:tc>
          <w:tcPr>
            <w:tcW w:w="3988" w:type="dxa"/>
            <w:gridSpan w:val="2"/>
            <w:tcBorders>
              <w:tl2br w:val="nil"/>
              <w:tr2bl w:val="nil"/>
            </w:tcBorders>
            <w:vAlign w:val="center"/>
          </w:tcPr>
          <w:p>
            <w:pPr>
              <w:jc w:val="right"/>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438" w:type="dxa"/>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年度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目标</w:t>
            </w:r>
          </w:p>
        </w:tc>
        <w:tc>
          <w:tcPr>
            <w:tcW w:w="8582" w:type="dxa"/>
            <w:gridSpan w:val="6"/>
            <w:tcBorders>
              <w:tl2br w:val="nil"/>
              <w:tr2bl w:val="nil"/>
            </w:tcBorders>
            <w:vAlign w:val="center"/>
          </w:tcPr>
          <w:p>
            <w:pPr>
              <w:jc w:val="left"/>
              <w:rPr>
                <w:rFonts w:hint="default" w:ascii="宋体" w:cs="宋体" w:eastAsiaTheme="minorEastAsia"/>
                <w:sz w:val="20"/>
                <w:lang w:val="en-US" w:eastAsia="zh-CN"/>
              </w:rPr>
            </w:pPr>
            <w:r>
              <w:rPr>
                <w:rFonts w:hint="eastAsia" w:ascii="宋体" w:cs="宋体"/>
                <w:sz w:val="20"/>
                <w:lang w:val="en-US" w:eastAsia="zh-CN"/>
              </w:rPr>
              <w:t>及时足额支付聘用人员工资和缴纳社保。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438" w:type="dxa"/>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绩</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效</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标</w:t>
            </w:r>
          </w:p>
        </w:tc>
        <w:tc>
          <w:tcPr>
            <w:tcW w:w="723" w:type="dxa"/>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一级</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指标</w:t>
            </w:r>
          </w:p>
        </w:tc>
        <w:tc>
          <w:tcPr>
            <w:tcW w:w="1081"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二级指标</w:t>
            </w:r>
          </w:p>
        </w:tc>
        <w:tc>
          <w:tcPr>
            <w:tcW w:w="2790" w:type="dxa"/>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三级指标</w:t>
            </w:r>
          </w:p>
        </w:tc>
        <w:tc>
          <w:tcPr>
            <w:tcW w:w="3988" w:type="dxa"/>
            <w:gridSpan w:val="2"/>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产出指标</w:t>
            </w:r>
          </w:p>
        </w:tc>
        <w:tc>
          <w:tcPr>
            <w:tcW w:w="1081"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数量指标</w:t>
            </w:r>
          </w:p>
        </w:tc>
        <w:tc>
          <w:tcPr>
            <w:tcW w:w="2790" w:type="dxa"/>
            <w:tcBorders>
              <w:tl2br w:val="nil"/>
              <w:tr2bl w:val="nil"/>
            </w:tcBorders>
            <w:vAlign w:val="center"/>
          </w:tcPr>
          <w:p>
            <w:pPr>
              <w:widowControl/>
              <w:jc w:val="left"/>
              <w:textAlignment w:val="center"/>
              <w:rPr>
                <w:rFonts w:hint="default" w:ascii="宋体" w:eastAsia="宋体" w:cs="宋体"/>
                <w:sz w:val="20"/>
                <w:lang w:val="en-US" w:eastAsia="zh-CN"/>
              </w:rPr>
            </w:pPr>
            <w:r>
              <w:rPr>
                <w:rFonts w:hint="eastAsia" w:ascii="宋体" w:hAnsi="宋体" w:eastAsia="宋体" w:cs="宋体"/>
                <w:color w:val="000000"/>
                <w:kern w:val="0"/>
                <w:sz w:val="20"/>
                <w:szCs w:val="20"/>
              </w:rPr>
              <w:t>指标：</w:t>
            </w:r>
            <w:r>
              <w:rPr>
                <w:rFonts w:hint="eastAsia" w:ascii="宋体" w:hAnsi="宋体" w:eastAsia="宋体" w:cs="宋体"/>
                <w:color w:val="000000"/>
                <w:kern w:val="0"/>
                <w:sz w:val="20"/>
                <w:szCs w:val="20"/>
                <w:lang w:val="en-US" w:eastAsia="zh-CN"/>
              </w:rPr>
              <w:t>单位运行劳务费</w:t>
            </w:r>
          </w:p>
        </w:tc>
        <w:tc>
          <w:tcPr>
            <w:tcW w:w="3988" w:type="dxa"/>
            <w:gridSpan w:val="2"/>
            <w:tcBorders>
              <w:tl2br w:val="nil"/>
              <w:tr2bl w:val="nil"/>
            </w:tcBorders>
            <w:vAlign w:val="center"/>
          </w:tcPr>
          <w:p>
            <w:pPr>
              <w:jc w:val="center"/>
              <w:rPr>
                <w:rFonts w:hint="default" w:ascii="宋体" w:cs="宋体"/>
                <w:sz w:val="20"/>
                <w:lang w:val="en-US"/>
              </w:rPr>
            </w:pPr>
            <w:r>
              <w:rPr>
                <w:rFonts w:hint="default" w:ascii="宋体" w:cs="宋体"/>
                <w:sz w:val="20"/>
                <w:lang w:val="en-US"/>
              </w:rPr>
              <w:t>=125.00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1081"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质量指标</w:t>
            </w:r>
          </w:p>
        </w:tc>
        <w:tc>
          <w:tcPr>
            <w:tcW w:w="2790" w:type="dxa"/>
            <w:tcBorders>
              <w:tl2br w:val="nil"/>
              <w:tr2bl w:val="nil"/>
            </w:tcBorders>
            <w:vAlign w:val="center"/>
          </w:tcPr>
          <w:p>
            <w:pPr>
              <w:widowControl/>
              <w:jc w:val="left"/>
              <w:textAlignment w:val="center"/>
              <w:rPr>
                <w:rFonts w:hint="default" w:ascii="宋体" w:eastAsia="宋体" w:cs="宋体"/>
                <w:sz w:val="20"/>
                <w:lang w:val="en-US" w:eastAsia="zh-CN"/>
              </w:rPr>
            </w:pPr>
            <w:r>
              <w:rPr>
                <w:rFonts w:hint="eastAsia" w:ascii="宋体" w:hAnsi="宋体" w:eastAsia="宋体" w:cs="宋体"/>
                <w:color w:val="000000"/>
                <w:kern w:val="0"/>
                <w:sz w:val="20"/>
                <w:szCs w:val="20"/>
              </w:rPr>
              <w:t>指标：</w:t>
            </w:r>
            <w:r>
              <w:rPr>
                <w:rFonts w:hint="eastAsia" w:ascii="宋体" w:hAnsi="宋体" w:eastAsia="宋体" w:cs="宋体"/>
                <w:color w:val="000000"/>
                <w:kern w:val="0"/>
                <w:sz w:val="20"/>
                <w:szCs w:val="20"/>
                <w:lang w:val="en-US" w:eastAsia="zh-CN"/>
              </w:rPr>
              <w:t>按财经法规合理发放</w:t>
            </w:r>
          </w:p>
        </w:tc>
        <w:tc>
          <w:tcPr>
            <w:tcW w:w="3988" w:type="dxa"/>
            <w:gridSpan w:val="2"/>
            <w:tcBorders>
              <w:tl2br w:val="nil"/>
              <w:tr2bl w:val="nil"/>
            </w:tcBorders>
            <w:vAlign w:val="center"/>
          </w:tcPr>
          <w:p>
            <w:pPr>
              <w:jc w:val="center"/>
              <w:rPr>
                <w:rFonts w:hint="eastAsia" w:ascii="宋体" w:cs="宋体" w:eastAsiaTheme="minorEastAsia"/>
                <w:sz w:val="20"/>
                <w:lang w:val="en-US" w:eastAsia="zh-CN"/>
              </w:rPr>
            </w:pPr>
            <w:r>
              <w:rPr>
                <w:rFonts w:hint="eastAsia" w:ascii="宋体" w:cs="宋体"/>
                <w:sz w:val="20"/>
                <w:lang w:val="en-US" w:eastAsia="zh-CN"/>
              </w:rPr>
              <w:t>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1081"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时效指标</w:t>
            </w:r>
          </w:p>
        </w:tc>
        <w:tc>
          <w:tcPr>
            <w:tcW w:w="2790" w:type="dxa"/>
            <w:tcBorders>
              <w:tl2br w:val="nil"/>
              <w:tr2bl w:val="nil"/>
            </w:tcBorders>
            <w:vAlign w:val="center"/>
          </w:tcPr>
          <w:p>
            <w:pPr>
              <w:widowControl/>
              <w:jc w:val="left"/>
              <w:textAlignment w:val="center"/>
              <w:rPr>
                <w:rFonts w:hint="eastAsia" w:ascii="宋体" w:eastAsia="宋体" w:cs="宋体"/>
                <w:sz w:val="20"/>
                <w:lang w:val="en-US" w:eastAsia="zh-CN"/>
              </w:rPr>
            </w:pPr>
            <w:r>
              <w:rPr>
                <w:rFonts w:hint="eastAsia" w:ascii="宋体" w:hAnsi="宋体" w:eastAsia="宋体" w:cs="宋体"/>
                <w:color w:val="000000"/>
                <w:kern w:val="0"/>
                <w:sz w:val="20"/>
                <w:szCs w:val="20"/>
              </w:rPr>
              <w:t>指标：</w:t>
            </w:r>
            <w:r>
              <w:rPr>
                <w:rFonts w:hint="eastAsia" w:ascii="宋体" w:hAnsi="宋体" w:eastAsia="宋体" w:cs="宋体"/>
                <w:color w:val="000000"/>
                <w:kern w:val="0"/>
                <w:sz w:val="20"/>
                <w:szCs w:val="20"/>
                <w:lang w:val="en-US" w:eastAsia="zh-CN"/>
              </w:rPr>
              <w:t>时效性</w:t>
            </w:r>
          </w:p>
        </w:tc>
        <w:tc>
          <w:tcPr>
            <w:tcW w:w="3988" w:type="dxa"/>
            <w:gridSpan w:val="2"/>
            <w:tcBorders>
              <w:tl2br w:val="nil"/>
              <w:tr2bl w:val="nil"/>
            </w:tcBorders>
            <w:vAlign w:val="center"/>
          </w:tcPr>
          <w:p>
            <w:pPr>
              <w:jc w:val="center"/>
              <w:rPr>
                <w:rFonts w:hint="default" w:ascii="宋体" w:cs="宋体" w:eastAsiaTheme="minorEastAsia"/>
                <w:sz w:val="20"/>
                <w:lang w:val="en-US" w:eastAsia="zh-CN"/>
              </w:rPr>
            </w:pPr>
            <w:r>
              <w:rPr>
                <w:rFonts w:hint="eastAsia" w:ascii="宋体" w:cs="宋体"/>
                <w:sz w:val="20"/>
                <w:lang w:val="en-US" w:eastAsia="zh-CN"/>
              </w:rPr>
              <w:t>及时发放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1081"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成本指标</w:t>
            </w:r>
          </w:p>
        </w:tc>
        <w:tc>
          <w:tcPr>
            <w:tcW w:w="2790" w:type="dxa"/>
            <w:tcBorders>
              <w:tl2br w:val="nil"/>
              <w:tr2bl w:val="nil"/>
            </w:tcBorders>
            <w:vAlign w:val="center"/>
          </w:tcPr>
          <w:p>
            <w:pPr>
              <w:widowControl/>
              <w:jc w:val="left"/>
              <w:textAlignment w:val="center"/>
              <w:rPr>
                <w:rFonts w:hint="default" w:ascii="宋体" w:eastAsia="宋体" w:cs="宋体"/>
                <w:sz w:val="20"/>
                <w:lang w:val="en-US" w:eastAsia="zh-CN"/>
              </w:rPr>
            </w:pPr>
            <w:r>
              <w:rPr>
                <w:rFonts w:hint="eastAsia" w:ascii="宋体" w:hAnsi="宋体" w:eastAsia="宋体" w:cs="宋体"/>
                <w:color w:val="000000"/>
                <w:kern w:val="0"/>
                <w:sz w:val="20"/>
                <w:szCs w:val="20"/>
              </w:rPr>
              <w:t>指标：</w:t>
            </w:r>
            <w:r>
              <w:rPr>
                <w:rFonts w:hint="eastAsia" w:ascii="宋体" w:hAnsi="宋体" w:eastAsia="宋体" w:cs="宋体"/>
                <w:color w:val="000000"/>
                <w:kern w:val="0"/>
                <w:sz w:val="20"/>
                <w:szCs w:val="20"/>
                <w:lang w:val="en-US" w:eastAsia="zh-CN"/>
              </w:rPr>
              <w:t>单位运行劳务费总成本</w:t>
            </w:r>
          </w:p>
        </w:tc>
        <w:tc>
          <w:tcPr>
            <w:tcW w:w="3988" w:type="dxa"/>
            <w:gridSpan w:val="2"/>
            <w:tcBorders>
              <w:tl2br w:val="nil"/>
              <w:tr2bl w:val="nil"/>
            </w:tcBorders>
            <w:vAlign w:val="center"/>
          </w:tcPr>
          <w:p>
            <w:pPr>
              <w:jc w:val="center"/>
              <w:rPr>
                <w:rFonts w:hint="default" w:ascii="宋体" w:cs="宋体"/>
                <w:sz w:val="20"/>
                <w:lang w:val="en-US"/>
              </w:rPr>
            </w:pPr>
            <w:r>
              <w:rPr>
                <w:rFonts w:hint="default" w:ascii="宋体" w:cs="宋体"/>
                <w:sz w:val="20"/>
                <w:lang w:val="en-US"/>
              </w:rPr>
              <w:t>=125.00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效益指标</w:t>
            </w:r>
          </w:p>
        </w:tc>
        <w:tc>
          <w:tcPr>
            <w:tcW w:w="1081"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经济效益指标</w:t>
            </w:r>
          </w:p>
        </w:tc>
        <w:tc>
          <w:tcPr>
            <w:tcW w:w="2790" w:type="dxa"/>
            <w:tcBorders>
              <w:tl2br w:val="nil"/>
              <w:tr2bl w:val="nil"/>
            </w:tcBorders>
            <w:vAlign w:val="center"/>
          </w:tcPr>
          <w:p>
            <w:pPr>
              <w:widowControl/>
              <w:jc w:val="left"/>
              <w:textAlignment w:val="center"/>
              <w:rPr>
                <w:rFonts w:hint="default" w:ascii="宋体" w:eastAsia="宋体" w:cs="宋体"/>
                <w:sz w:val="20"/>
                <w:lang w:val="en-US" w:eastAsia="zh-CN"/>
              </w:rPr>
            </w:pPr>
            <w:r>
              <w:rPr>
                <w:rFonts w:hint="eastAsia" w:ascii="宋体" w:hAnsi="宋体" w:eastAsia="宋体" w:cs="宋体"/>
                <w:color w:val="000000"/>
                <w:kern w:val="0"/>
                <w:sz w:val="20"/>
                <w:szCs w:val="20"/>
              </w:rPr>
              <w:t>指标：</w:t>
            </w:r>
            <w:r>
              <w:rPr>
                <w:rFonts w:hint="eastAsia" w:ascii="宋体" w:hAnsi="宋体" w:eastAsia="宋体" w:cs="宋体"/>
                <w:color w:val="000000"/>
                <w:kern w:val="0"/>
                <w:sz w:val="20"/>
                <w:szCs w:val="20"/>
                <w:lang w:val="en-US" w:eastAsia="zh-CN"/>
              </w:rPr>
              <w:t>经济效益</w:t>
            </w:r>
          </w:p>
        </w:tc>
        <w:tc>
          <w:tcPr>
            <w:tcW w:w="3988" w:type="dxa"/>
            <w:gridSpan w:val="2"/>
            <w:tcBorders>
              <w:tl2br w:val="nil"/>
              <w:tr2bl w:val="nil"/>
            </w:tcBorders>
            <w:vAlign w:val="center"/>
          </w:tcPr>
          <w:p>
            <w:pPr>
              <w:jc w:val="center"/>
              <w:rPr>
                <w:rFonts w:hint="eastAsia" w:ascii="宋体" w:cs="宋体" w:eastAsiaTheme="minorEastAsia"/>
                <w:sz w:val="20"/>
                <w:lang w:val="en-US" w:eastAsia="zh-CN"/>
              </w:rPr>
            </w:pPr>
            <w:r>
              <w:rPr>
                <w:rFonts w:hint="eastAsia" w:ascii="宋体" w:cs="宋体"/>
                <w:sz w:val="20"/>
                <w:lang w:val="en-US" w:eastAsia="zh-CN"/>
              </w:rPr>
              <w:t>最大化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1081"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社会效益指标</w:t>
            </w:r>
          </w:p>
        </w:tc>
        <w:tc>
          <w:tcPr>
            <w:tcW w:w="2790" w:type="dxa"/>
            <w:tcBorders>
              <w:tl2br w:val="nil"/>
              <w:tr2bl w:val="nil"/>
            </w:tcBorders>
            <w:vAlign w:val="center"/>
          </w:tcPr>
          <w:p>
            <w:pPr>
              <w:widowControl/>
              <w:jc w:val="left"/>
              <w:textAlignment w:val="center"/>
              <w:rPr>
                <w:rFonts w:hint="default" w:ascii="宋体" w:eastAsia="宋体" w:cs="宋体"/>
                <w:sz w:val="20"/>
                <w:lang w:val="en-US" w:eastAsia="zh-CN"/>
              </w:rPr>
            </w:pPr>
            <w:r>
              <w:rPr>
                <w:rFonts w:hint="eastAsia" w:ascii="宋体" w:hAnsi="宋体" w:eastAsia="宋体" w:cs="宋体"/>
                <w:color w:val="000000"/>
                <w:kern w:val="0"/>
                <w:sz w:val="20"/>
                <w:szCs w:val="20"/>
              </w:rPr>
              <w:t>指标：</w:t>
            </w:r>
            <w:r>
              <w:rPr>
                <w:rFonts w:hint="eastAsia" w:ascii="宋体" w:hAnsi="宋体" w:eastAsia="宋体" w:cs="宋体"/>
                <w:color w:val="000000"/>
                <w:kern w:val="0"/>
                <w:sz w:val="20"/>
                <w:szCs w:val="20"/>
                <w:lang w:val="en-US" w:eastAsia="zh-CN"/>
              </w:rPr>
              <w:t>工作运转</w:t>
            </w:r>
          </w:p>
        </w:tc>
        <w:tc>
          <w:tcPr>
            <w:tcW w:w="3988" w:type="dxa"/>
            <w:gridSpan w:val="2"/>
            <w:tcBorders>
              <w:tl2br w:val="nil"/>
              <w:tr2bl w:val="nil"/>
            </w:tcBorders>
            <w:vAlign w:val="center"/>
          </w:tcPr>
          <w:p>
            <w:pPr>
              <w:jc w:val="center"/>
              <w:rPr>
                <w:rFonts w:hint="default" w:ascii="宋体" w:cs="宋体" w:eastAsiaTheme="minorEastAsia"/>
                <w:sz w:val="20"/>
                <w:lang w:val="en-US" w:eastAsia="zh-CN"/>
              </w:rPr>
            </w:pPr>
            <w:r>
              <w:rPr>
                <w:rFonts w:hint="eastAsia" w:ascii="宋体" w:cs="宋体"/>
                <w:sz w:val="20"/>
                <w:lang w:val="en-US" w:eastAsia="zh-CN"/>
              </w:rPr>
              <w:t>正常有序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1081"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生态效益指标</w:t>
            </w:r>
          </w:p>
        </w:tc>
        <w:tc>
          <w:tcPr>
            <w:tcW w:w="2790" w:type="dxa"/>
            <w:tcBorders>
              <w:tl2br w:val="nil"/>
              <w:tr2bl w:val="nil"/>
            </w:tcBorders>
            <w:vAlign w:val="center"/>
          </w:tcPr>
          <w:p>
            <w:pPr>
              <w:widowControl/>
              <w:jc w:val="left"/>
              <w:textAlignment w:val="center"/>
              <w:rPr>
                <w:rFonts w:hint="eastAsia" w:ascii="宋体" w:eastAsia="宋体" w:cs="宋体"/>
                <w:sz w:val="20"/>
                <w:lang w:val="en-US" w:eastAsia="zh-CN"/>
              </w:rPr>
            </w:pPr>
            <w:r>
              <w:rPr>
                <w:rFonts w:hint="eastAsia" w:ascii="宋体" w:hAnsi="宋体" w:eastAsia="宋体" w:cs="宋体"/>
                <w:color w:val="000000"/>
                <w:kern w:val="0"/>
                <w:sz w:val="20"/>
                <w:szCs w:val="20"/>
              </w:rPr>
              <w:t>指标：</w:t>
            </w:r>
            <w:r>
              <w:rPr>
                <w:rFonts w:hint="eastAsia" w:ascii="宋体" w:hAnsi="宋体" w:eastAsia="宋体" w:cs="宋体"/>
                <w:color w:val="000000"/>
                <w:kern w:val="0"/>
                <w:sz w:val="20"/>
                <w:szCs w:val="20"/>
                <w:lang w:val="en-US" w:eastAsia="zh-CN"/>
              </w:rPr>
              <w:t>生态效益</w:t>
            </w:r>
          </w:p>
        </w:tc>
        <w:tc>
          <w:tcPr>
            <w:tcW w:w="3988" w:type="dxa"/>
            <w:gridSpan w:val="2"/>
            <w:tcBorders>
              <w:tl2br w:val="nil"/>
              <w:tr2bl w:val="nil"/>
            </w:tcBorders>
            <w:vAlign w:val="center"/>
          </w:tcPr>
          <w:p>
            <w:pPr>
              <w:jc w:val="center"/>
              <w:rPr>
                <w:rFonts w:hint="eastAsia" w:ascii="宋体" w:cs="宋体" w:eastAsiaTheme="minorEastAsia"/>
                <w:sz w:val="20"/>
                <w:lang w:val="en-US" w:eastAsia="zh-CN"/>
              </w:rPr>
            </w:pPr>
            <w:r>
              <w:rPr>
                <w:rFonts w:hint="eastAsia" w:ascii="宋体" w:cs="宋体"/>
                <w:sz w:val="20"/>
                <w:lang w:val="en-US" w:eastAsia="zh-CN"/>
              </w:rPr>
              <w:t>和谐文明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1081" w:type="dxa"/>
            <w:gridSpan w:val="2"/>
            <w:tcBorders>
              <w:tl2br w:val="nil"/>
              <w:tr2bl w:val="nil"/>
            </w:tcBorders>
            <w:vAlign w:val="center"/>
          </w:tcPr>
          <w:p>
            <w:pPr>
              <w:widowControl/>
              <w:spacing w:line="200" w:lineRule="exact"/>
              <w:jc w:val="center"/>
              <w:rPr>
                <w:rFonts w:ascii="宋体" w:hAnsi="宋体" w:eastAsia="宋体" w:cs="宋体"/>
                <w:sz w:val="20"/>
              </w:rPr>
            </w:pPr>
            <w:r>
              <w:rPr>
                <w:rFonts w:hint="eastAsia" w:ascii="宋体" w:hAnsi="宋体" w:eastAsia="宋体" w:cs="宋体"/>
                <w:sz w:val="20"/>
              </w:rPr>
              <w:t>可持续影响指标</w:t>
            </w:r>
          </w:p>
        </w:tc>
        <w:tc>
          <w:tcPr>
            <w:tcW w:w="2790" w:type="dxa"/>
            <w:tcBorders>
              <w:tl2br w:val="nil"/>
              <w:tr2bl w:val="nil"/>
            </w:tcBorders>
            <w:vAlign w:val="center"/>
          </w:tcPr>
          <w:p>
            <w:pPr>
              <w:widowControl/>
              <w:jc w:val="left"/>
              <w:textAlignment w:val="center"/>
              <w:rPr>
                <w:rFonts w:hint="default" w:ascii="宋体" w:hAnsi="宋体" w:eastAsia="宋体" w:cs="宋体"/>
                <w:sz w:val="20"/>
                <w:lang w:val="en-US" w:eastAsia="zh-CN"/>
              </w:rPr>
            </w:pPr>
            <w:r>
              <w:rPr>
                <w:rFonts w:hint="eastAsia" w:ascii="宋体" w:hAnsi="宋体" w:eastAsia="宋体" w:cs="宋体"/>
                <w:color w:val="000000"/>
                <w:kern w:val="0"/>
                <w:sz w:val="20"/>
                <w:szCs w:val="20"/>
              </w:rPr>
              <w:t>指标：</w:t>
            </w:r>
            <w:r>
              <w:rPr>
                <w:rFonts w:hint="eastAsia" w:ascii="宋体" w:hAnsi="宋体" w:eastAsia="宋体" w:cs="宋体"/>
                <w:color w:val="000000"/>
                <w:kern w:val="0"/>
                <w:sz w:val="20"/>
                <w:szCs w:val="20"/>
                <w:lang w:eastAsia="zh-CN"/>
              </w:rPr>
              <w:t>对</w:t>
            </w:r>
            <w:r>
              <w:rPr>
                <w:rFonts w:hint="eastAsia" w:ascii="宋体" w:hAnsi="宋体" w:eastAsia="宋体" w:cs="宋体"/>
                <w:color w:val="000000"/>
                <w:kern w:val="0"/>
                <w:sz w:val="20"/>
                <w:szCs w:val="20"/>
                <w:lang w:val="en-US" w:eastAsia="zh-CN"/>
              </w:rPr>
              <w:t>保障住房公积金管理整体工作正常运转的可持续性</w:t>
            </w:r>
          </w:p>
        </w:tc>
        <w:tc>
          <w:tcPr>
            <w:tcW w:w="3988" w:type="dxa"/>
            <w:gridSpan w:val="2"/>
            <w:tcBorders>
              <w:tl2br w:val="nil"/>
              <w:tr2bl w:val="nil"/>
            </w:tcBorders>
            <w:vAlign w:val="center"/>
          </w:tcPr>
          <w:p>
            <w:pPr>
              <w:jc w:val="center"/>
              <w:rPr>
                <w:rFonts w:hint="eastAsia" w:ascii="宋体" w:cs="宋体" w:eastAsiaTheme="minorEastAsia"/>
                <w:sz w:val="20"/>
                <w:lang w:val="en-US" w:eastAsia="zh-CN"/>
              </w:rPr>
            </w:pPr>
            <w:r>
              <w:rPr>
                <w:rFonts w:hint="eastAsia" w:ascii="宋体" w:cs="宋体"/>
                <w:sz w:val="20"/>
                <w:lang w:val="en-US" w:eastAsia="zh-CN"/>
              </w:rPr>
              <w:t>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tcBorders>
              <w:tl2br w:val="nil"/>
              <w:tr2bl w:val="nil"/>
            </w:tcBorders>
            <w:vAlign w:val="center"/>
          </w:tcPr>
          <w:p>
            <w:pPr>
              <w:widowControl/>
              <w:spacing w:line="200" w:lineRule="exact"/>
              <w:jc w:val="center"/>
              <w:rPr>
                <w:rFonts w:ascii="宋体" w:hAnsi="宋体" w:eastAsia="宋体" w:cs="宋体"/>
                <w:sz w:val="20"/>
              </w:rPr>
            </w:pPr>
            <w:r>
              <w:rPr>
                <w:rFonts w:hint="eastAsia" w:ascii="宋体" w:hAnsi="宋体" w:eastAsia="宋体" w:cs="宋体"/>
                <w:sz w:val="20"/>
              </w:rPr>
              <w:t>满意度指标</w:t>
            </w:r>
          </w:p>
        </w:tc>
        <w:tc>
          <w:tcPr>
            <w:tcW w:w="1081" w:type="dxa"/>
            <w:gridSpan w:val="2"/>
            <w:tcBorders>
              <w:tl2br w:val="nil"/>
              <w:tr2bl w:val="nil"/>
            </w:tcBorders>
            <w:vAlign w:val="center"/>
          </w:tcPr>
          <w:p>
            <w:pPr>
              <w:widowControl/>
              <w:spacing w:line="200" w:lineRule="exact"/>
              <w:jc w:val="center"/>
              <w:rPr>
                <w:rFonts w:ascii="宋体" w:hAnsi="宋体" w:eastAsia="宋体" w:cs="宋体"/>
                <w:sz w:val="20"/>
              </w:rPr>
            </w:pPr>
            <w:r>
              <w:rPr>
                <w:rFonts w:hint="eastAsia" w:ascii="宋体" w:hAnsi="宋体" w:eastAsia="宋体" w:cs="宋体"/>
                <w:sz w:val="20"/>
              </w:rPr>
              <w:t>满意度指标</w:t>
            </w:r>
          </w:p>
        </w:tc>
        <w:tc>
          <w:tcPr>
            <w:tcW w:w="2790" w:type="dxa"/>
            <w:tcBorders>
              <w:tl2br w:val="nil"/>
              <w:tr2bl w:val="nil"/>
            </w:tcBorders>
            <w:vAlign w:val="center"/>
          </w:tcPr>
          <w:p>
            <w:pPr>
              <w:widowControl/>
              <w:jc w:val="left"/>
              <w:textAlignment w:val="center"/>
              <w:rPr>
                <w:rFonts w:hint="default" w:ascii="宋体" w:hAnsi="宋体" w:eastAsia="宋体" w:cs="宋体"/>
                <w:sz w:val="20"/>
                <w:lang w:val="en-US" w:eastAsia="zh-CN"/>
              </w:rPr>
            </w:pPr>
            <w:r>
              <w:rPr>
                <w:rFonts w:hint="eastAsia" w:ascii="宋体" w:hAnsi="宋体" w:eastAsia="宋体" w:cs="宋体"/>
                <w:color w:val="000000"/>
                <w:kern w:val="0"/>
                <w:sz w:val="20"/>
                <w:szCs w:val="20"/>
              </w:rPr>
              <w:t>指标：</w:t>
            </w:r>
            <w:r>
              <w:rPr>
                <w:rFonts w:hint="eastAsia" w:ascii="宋体" w:hAnsi="宋体" w:eastAsia="宋体" w:cs="宋体"/>
                <w:color w:val="000000"/>
                <w:kern w:val="0"/>
                <w:sz w:val="20"/>
                <w:szCs w:val="20"/>
                <w:lang w:val="en-US" w:eastAsia="zh-CN"/>
              </w:rPr>
              <w:t>聘用人员满意度</w:t>
            </w:r>
          </w:p>
        </w:tc>
        <w:tc>
          <w:tcPr>
            <w:tcW w:w="3988" w:type="dxa"/>
            <w:gridSpan w:val="2"/>
            <w:tcBorders>
              <w:tl2br w:val="nil"/>
              <w:tr2bl w:val="nil"/>
            </w:tcBorders>
            <w:vAlign w:val="center"/>
          </w:tcPr>
          <w:p>
            <w:pPr>
              <w:jc w:val="center"/>
              <w:rPr>
                <w:rFonts w:hint="eastAsia" w:ascii="宋体" w:cs="宋体" w:eastAsiaTheme="minorEastAsia"/>
                <w:sz w:val="20"/>
                <w:lang w:val="en-US" w:eastAsia="zh-CN"/>
              </w:rPr>
            </w:pPr>
            <w:r>
              <w:rPr>
                <w:rFonts w:hint="eastAsia" w:ascii="宋体" w:cs="宋体"/>
                <w:sz w:val="20"/>
                <w:lang w:val="en-US" w:eastAsia="zh-CN"/>
              </w:rPr>
              <w:t>满意</w:t>
            </w:r>
          </w:p>
        </w:tc>
      </w:tr>
    </w:tbl>
    <w:p>
      <w:pPr>
        <w:ind w:firstLine="420" w:firstLineChars="200"/>
      </w:pPr>
    </w:p>
    <w:p>
      <w:pPr>
        <w:ind w:firstLine="640" w:firstLineChars="200"/>
        <w:rPr>
          <w:rFonts w:ascii="TimesNewRoman" w:hAnsi="TimesNewRoman" w:eastAsia="仿宋_GB2312" w:cs="TimesNewRoman"/>
          <w:kern w:val="0"/>
          <w:sz w:val="32"/>
          <w:szCs w:val="32"/>
        </w:rPr>
      </w:pPr>
      <w:r>
        <w:rPr>
          <w:rFonts w:hint="default" w:ascii="TimesNewRoman" w:hAnsi="TimesNewRoman" w:eastAsia="仿宋_GB2312" w:cs="TimesNewRoman"/>
          <w:kern w:val="0"/>
          <w:sz w:val="32"/>
          <w:szCs w:val="32"/>
          <w:lang w:val="en-US"/>
        </w:rPr>
        <w:t>3</w:t>
      </w:r>
      <w:r>
        <w:rPr>
          <w:rFonts w:hint="eastAsia" w:ascii="TimesNewRoman" w:hAnsi="TimesNewRoman" w:eastAsia="仿宋_GB2312" w:cs="TimesNewRoman"/>
          <w:kern w:val="0"/>
          <w:sz w:val="32"/>
          <w:szCs w:val="32"/>
        </w:rPr>
        <w:t>、“</w:t>
      </w:r>
      <w:r>
        <w:rPr>
          <w:rFonts w:hint="eastAsia" w:ascii="TimesNewRoman" w:hAnsi="TimesNewRoman" w:eastAsia="仿宋_GB2312" w:cs="TimesNewRoman"/>
          <w:kern w:val="0"/>
          <w:sz w:val="32"/>
          <w:szCs w:val="32"/>
          <w:lang w:val="en-US" w:eastAsia="zh-CN"/>
        </w:rPr>
        <w:t>办公大楼运行费</w:t>
      </w:r>
      <w:r>
        <w:rPr>
          <w:rFonts w:hint="eastAsia" w:ascii="TimesNewRoman" w:hAnsi="TimesNewRoman" w:eastAsia="仿宋_GB2312" w:cs="TimesNewRoman"/>
          <w:kern w:val="0"/>
          <w:sz w:val="32"/>
          <w:szCs w:val="32"/>
        </w:rPr>
        <w:t>”项目。</w:t>
      </w:r>
    </w:p>
    <w:p>
      <w:pPr>
        <w:ind w:firstLine="640" w:firstLineChars="200"/>
        <w:rPr>
          <w:rFonts w:hint="default" w:ascii="TimesNewRoman" w:hAnsi="TimesNewRoman" w:eastAsia="仿宋_GB2312" w:cs="TimesNewRoman"/>
          <w:kern w:val="0"/>
          <w:sz w:val="32"/>
          <w:szCs w:val="32"/>
          <w:lang w:val="en-US" w:eastAsia="zh-CN"/>
        </w:rPr>
      </w:pPr>
      <w:r>
        <w:rPr>
          <w:rFonts w:hint="eastAsia" w:ascii="TimesNewRoman" w:hAnsi="TimesNewRoman" w:eastAsia="仿宋_GB2312" w:cs="TimesNewRoman"/>
          <w:kern w:val="0"/>
          <w:sz w:val="32"/>
          <w:szCs w:val="32"/>
        </w:rPr>
        <w:t>（1）项目概述。</w:t>
      </w:r>
      <w:r>
        <w:rPr>
          <w:rFonts w:hint="eastAsia" w:ascii="TimesNewRoman" w:hAnsi="TimesNewRoman" w:eastAsia="仿宋_GB2312" w:cs="TimesNewRoman"/>
          <w:kern w:val="0"/>
          <w:sz w:val="32"/>
          <w:szCs w:val="32"/>
          <w:lang w:val="en-US" w:eastAsia="zh-CN"/>
        </w:rPr>
        <w:t>办公大楼及业务网点正常办公使用的费用。</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 w:hAnsi="仿宋" w:eastAsia="仿宋" w:cs="仿宋"/>
          <w:sz w:val="32"/>
          <w:szCs w:val="32"/>
        </w:rPr>
      </w:pPr>
      <w:r>
        <w:rPr>
          <w:rFonts w:hint="eastAsia" w:ascii="TimesNewRoman" w:hAnsi="TimesNewRoman" w:eastAsia="仿宋_GB2312" w:cs="TimesNewRoman"/>
          <w:kern w:val="0"/>
          <w:sz w:val="32"/>
          <w:szCs w:val="32"/>
        </w:rPr>
        <w:t>（2）立项依据。</w:t>
      </w:r>
      <w:r>
        <w:rPr>
          <w:rFonts w:hint="eastAsia" w:ascii="仿宋" w:hAnsi="仿宋" w:eastAsia="仿宋" w:cs="仿宋"/>
          <w:sz w:val="32"/>
          <w:szCs w:val="32"/>
          <w:lang w:eastAsia="zh-CN"/>
        </w:rPr>
        <w:t>按规定</w:t>
      </w:r>
      <w:r>
        <w:rPr>
          <w:rFonts w:hint="eastAsia" w:ascii="仿宋" w:hAnsi="仿宋" w:eastAsia="仿宋" w:cs="仿宋"/>
          <w:sz w:val="32"/>
          <w:szCs w:val="32"/>
          <w:lang w:val="en-US" w:eastAsia="zh-CN"/>
        </w:rPr>
        <w:t>编制2024年度办公大楼运行费</w:t>
      </w:r>
      <w:r>
        <w:rPr>
          <w:rFonts w:hint="eastAsia" w:ascii="仿宋" w:hAnsi="仿宋" w:eastAsia="仿宋" w:cs="仿宋"/>
          <w:sz w:val="32"/>
          <w:szCs w:val="32"/>
          <w:lang w:eastAsia="zh-CN"/>
        </w:rPr>
        <w:t>预算</w:t>
      </w:r>
      <w:r>
        <w:rPr>
          <w:rFonts w:hint="eastAsia" w:ascii="仿宋" w:hAnsi="仿宋" w:eastAsia="仿宋" w:cs="仿宋"/>
          <w:sz w:val="32"/>
          <w:szCs w:val="32"/>
          <w:lang w:val="en-US" w:eastAsia="zh-CN"/>
        </w:rPr>
        <w:t>，保障日常工作正常开展</w:t>
      </w:r>
      <w:r>
        <w:rPr>
          <w:rFonts w:hint="eastAsia" w:ascii="仿宋" w:hAnsi="仿宋" w:eastAsia="仿宋" w:cs="仿宋"/>
          <w:sz w:val="32"/>
          <w:szCs w:val="32"/>
        </w:rPr>
        <w:t>。</w:t>
      </w:r>
    </w:p>
    <w:p>
      <w:pPr>
        <w:ind w:firstLine="640" w:firstLineChars="200"/>
        <w:rPr>
          <w:rFonts w:hint="default" w:ascii="TimesNewRoman" w:hAnsi="TimesNewRoman" w:eastAsia="仿宋_GB2312" w:cs="TimesNewRoman"/>
          <w:kern w:val="0"/>
          <w:sz w:val="32"/>
          <w:szCs w:val="32"/>
          <w:lang w:val="en-US" w:eastAsia="zh-CN"/>
        </w:rPr>
      </w:pPr>
      <w:r>
        <w:rPr>
          <w:rFonts w:hint="eastAsia" w:ascii="TimesNewRoman" w:hAnsi="TimesNewRoman" w:eastAsia="仿宋_GB2312" w:cs="TimesNewRoman"/>
          <w:kern w:val="0"/>
          <w:sz w:val="32"/>
          <w:szCs w:val="32"/>
        </w:rPr>
        <w:t>（3）实施主体</w:t>
      </w:r>
      <w:r>
        <w:rPr>
          <w:rFonts w:hint="eastAsia" w:ascii="TimesNewRoman" w:hAnsi="TimesNewRoman" w:eastAsia="仿宋_GB2312" w:cs="TimesNewRoman"/>
          <w:kern w:val="0"/>
          <w:sz w:val="32"/>
          <w:szCs w:val="32"/>
          <w:lang w:eastAsia="zh-CN"/>
        </w:rPr>
        <w:t>：</w:t>
      </w:r>
      <w:r>
        <w:rPr>
          <w:rFonts w:hint="eastAsia" w:ascii="TimesNewRoman" w:hAnsi="TimesNewRoman" w:eastAsia="仿宋_GB2312" w:cs="TimesNewRoman"/>
          <w:kern w:val="0"/>
          <w:sz w:val="32"/>
          <w:szCs w:val="32"/>
          <w:lang w:val="en-US" w:eastAsia="zh-CN"/>
        </w:rPr>
        <w:t>淮北市住房公积金管理中心</w:t>
      </w:r>
    </w:p>
    <w:p>
      <w:pPr>
        <w:ind w:firstLine="640" w:firstLineChars="200"/>
        <w:rPr>
          <w:rFonts w:hint="default" w:ascii="TimesNewRoman" w:hAnsi="TimesNewRoman" w:eastAsia="仿宋_GB2312" w:cs="TimesNewRoman"/>
          <w:kern w:val="0"/>
          <w:sz w:val="32"/>
          <w:szCs w:val="32"/>
          <w:lang w:val="en-US" w:eastAsia="zh-CN"/>
        </w:rPr>
      </w:pPr>
      <w:r>
        <w:rPr>
          <w:rFonts w:hint="eastAsia" w:ascii="TimesNewRoman" w:hAnsi="TimesNewRoman" w:eastAsia="仿宋_GB2312" w:cs="TimesNewRoman"/>
          <w:kern w:val="0"/>
          <w:sz w:val="32"/>
          <w:szCs w:val="32"/>
        </w:rPr>
        <w:t>（4）起止时间</w:t>
      </w:r>
      <w:r>
        <w:rPr>
          <w:rFonts w:hint="eastAsia" w:ascii="TimesNewRoman" w:hAnsi="TimesNewRoman" w:eastAsia="仿宋_GB2312" w:cs="TimesNewRoman"/>
          <w:kern w:val="0"/>
          <w:sz w:val="32"/>
          <w:szCs w:val="32"/>
          <w:lang w:eastAsia="zh-CN"/>
        </w:rPr>
        <w:t>：</w:t>
      </w:r>
      <w:r>
        <w:rPr>
          <w:rFonts w:hint="default" w:ascii="TimesNewRoman" w:hAnsi="TimesNewRoman" w:eastAsia="仿宋_GB2312" w:cs="TimesNewRoman"/>
          <w:kern w:val="0"/>
          <w:sz w:val="32"/>
          <w:szCs w:val="32"/>
          <w:lang w:val="en-US" w:eastAsia="zh-CN"/>
        </w:rPr>
        <w:t>2024</w:t>
      </w:r>
      <w:r>
        <w:rPr>
          <w:rFonts w:hint="eastAsia" w:ascii="TimesNewRoman" w:hAnsi="TimesNewRoman" w:eastAsia="仿宋_GB2312" w:cs="TimesNewRoman"/>
          <w:kern w:val="0"/>
          <w:sz w:val="32"/>
          <w:szCs w:val="32"/>
          <w:lang w:val="en-US" w:eastAsia="zh-CN"/>
        </w:rPr>
        <w:t>年</w:t>
      </w:r>
      <w:r>
        <w:rPr>
          <w:rFonts w:hint="default" w:ascii="TimesNewRoman" w:hAnsi="TimesNewRoman" w:eastAsia="仿宋_GB2312" w:cs="TimesNewRoman"/>
          <w:kern w:val="0"/>
          <w:sz w:val="32"/>
          <w:szCs w:val="32"/>
          <w:lang w:val="en-US" w:eastAsia="zh-CN"/>
        </w:rPr>
        <w:t>1-12</w:t>
      </w:r>
      <w:r>
        <w:rPr>
          <w:rFonts w:hint="eastAsia" w:ascii="TimesNewRoman" w:hAnsi="TimesNewRoman" w:eastAsia="仿宋_GB2312" w:cs="TimesNewRoman"/>
          <w:kern w:val="0"/>
          <w:sz w:val="32"/>
          <w:szCs w:val="32"/>
          <w:lang w:val="en-US" w:eastAsia="zh-CN"/>
        </w:rPr>
        <w:t>月</w:t>
      </w:r>
    </w:p>
    <w:p>
      <w:pPr>
        <w:ind w:firstLine="640" w:firstLineChars="200"/>
        <w:rPr>
          <w:rFonts w:hint="default" w:ascii="TimesNewRoman" w:hAnsi="TimesNewRoman" w:eastAsia="仿宋_GB2312" w:cs="TimesNewRoman"/>
          <w:kern w:val="0"/>
          <w:sz w:val="32"/>
          <w:szCs w:val="32"/>
          <w:lang w:val="en-US" w:eastAsia="zh-CN"/>
        </w:rPr>
      </w:pPr>
      <w:r>
        <w:rPr>
          <w:rFonts w:hint="eastAsia" w:ascii="TimesNewRoman" w:hAnsi="TimesNewRoman" w:eastAsia="仿宋_GB2312" w:cs="TimesNewRoman"/>
          <w:kern w:val="0"/>
          <w:sz w:val="32"/>
          <w:szCs w:val="32"/>
        </w:rPr>
        <w:t>（5）项目内容。</w:t>
      </w:r>
      <w:r>
        <w:rPr>
          <w:rFonts w:hint="eastAsia" w:ascii="TimesNewRoman" w:hAnsi="TimesNewRoman" w:eastAsia="仿宋_GB2312" w:cs="TimesNewRoman"/>
          <w:kern w:val="0"/>
          <w:sz w:val="32"/>
          <w:szCs w:val="32"/>
          <w:lang w:val="en-US" w:eastAsia="zh-CN"/>
        </w:rPr>
        <w:t>办公大楼运行费由维修（护）费、物业管理费、电费、水费构成。</w:t>
      </w:r>
    </w:p>
    <w:p>
      <w:pPr>
        <w:ind w:firstLine="640" w:firstLineChars="200"/>
        <w:rPr>
          <w:rFonts w:hint="eastAsia" w:ascii="TimesNewRoman" w:hAnsi="TimesNewRoman" w:eastAsia="仿宋_GB2312" w:cs="TimesNewRoman"/>
          <w:kern w:val="0"/>
          <w:sz w:val="32"/>
          <w:szCs w:val="32"/>
          <w:lang w:val="en-US" w:eastAsia="zh-CN"/>
        </w:rPr>
      </w:pPr>
      <w:r>
        <w:rPr>
          <w:rFonts w:hint="eastAsia" w:ascii="TimesNewRoman" w:hAnsi="TimesNewRoman" w:eastAsia="仿宋_GB2312" w:cs="TimesNewRoman"/>
          <w:kern w:val="0"/>
          <w:sz w:val="32"/>
          <w:szCs w:val="32"/>
        </w:rPr>
        <w:t>（6）年度预算安排</w:t>
      </w:r>
      <w:r>
        <w:rPr>
          <w:rFonts w:hint="default" w:ascii="TimesNewRoman" w:hAnsi="TimesNewRoman" w:eastAsia="仿宋_GB2312" w:cs="TimesNewRoman"/>
          <w:kern w:val="0"/>
          <w:sz w:val="32"/>
          <w:szCs w:val="32"/>
          <w:lang w:val="en-US"/>
        </w:rPr>
        <w:t>80.00</w:t>
      </w:r>
      <w:r>
        <w:rPr>
          <w:rFonts w:hint="eastAsia" w:ascii="TimesNewRoman" w:hAnsi="TimesNewRoman" w:eastAsia="仿宋_GB2312" w:cs="TimesNewRoman"/>
          <w:kern w:val="0"/>
          <w:sz w:val="32"/>
          <w:szCs w:val="32"/>
          <w:lang w:val="en-US" w:eastAsia="zh-CN"/>
        </w:rPr>
        <w:t>万元。</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（7）绩效目标。</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723"/>
        <w:gridCol w:w="282"/>
        <w:gridCol w:w="1384"/>
        <w:gridCol w:w="2310"/>
        <w:gridCol w:w="1503"/>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9020" w:type="dxa"/>
            <w:gridSpan w:val="7"/>
            <w:tcBorders>
              <w:top w:val="nil"/>
              <w:left w:val="nil"/>
              <w:bottom w:val="nil"/>
              <w:right w:val="nil"/>
            </w:tcBorders>
            <w:vAlign w:val="center"/>
          </w:tcPr>
          <w:p>
            <w:pPr>
              <w:widowControl/>
              <w:jc w:val="center"/>
              <w:textAlignment w:val="center"/>
              <w:rPr>
                <w:rFonts w:ascii="宋体" w:cs="宋体"/>
                <w:b/>
                <w:bCs/>
                <w:szCs w:val="32"/>
              </w:rPr>
            </w:pPr>
            <w:r>
              <w:rPr>
                <w:rFonts w:hint="eastAsia" w:ascii="宋体" w:hAnsi="宋体" w:eastAsia="宋体" w:cs="宋体"/>
                <w:b/>
                <w:color w:val="000000"/>
                <w:kern w:val="0"/>
                <w:sz w:val="28"/>
                <w:szCs w:val="28"/>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020" w:type="dxa"/>
            <w:gridSpan w:val="7"/>
            <w:tcBorders>
              <w:top w:val="nil"/>
              <w:left w:val="nil"/>
              <w:right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 xml:space="preserve"> （2024年度）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项目名称</w:t>
            </w:r>
          </w:p>
        </w:tc>
        <w:tc>
          <w:tcPr>
            <w:tcW w:w="7577" w:type="dxa"/>
            <w:gridSpan w:val="4"/>
            <w:tcBorders>
              <w:tl2br w:val="nil"/>
              <w:tr2bl w:val="nil"/>
            </w:tcBorders>
            <w:vAlign w:val="center"/>
          </w:tcPr>
          <w:p>
            <w:pPr>
              <w:ind w:firstLine="2200" w:firstLineChars="1100"/>
              <w:jc w:val="both"/>
              <w:rPr>
                <w:rFonts w:hint="default" w:ascii="宋体" w:cs="宋体" w:eastAsiaTheme="minorEastAsia"/>
                <w:sz w:val="20"/>
                <w:lang w:val="en-US" w:eastAsia="zh-CN"/>
              </w:rPr>
            </w:pPr>
            <w:r>
              <w:rPr>
                <w:rFonts w:hint="eastAsia" w:ascii="宋体" w:cs="宋体"/>
                <w:sz w:val="20"/>
                <w:lang w:val="en-US" w:eastAsia="zh-CN"/>
              </w:rPr>
              <w:t>办公大楼运行费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443" w:type="dxa"/>
            <w:gridSpan w:val="3"/>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主管部门   及代码</w:t>
            </w:r>
          </w:p>
        </w:tc>
        <w:tc>
          <w:tcPr>
            <w:tcW w:w="3694" w:type="dxa"/>
            <w:gridSpan w:val="2"/>
            <w:tcBorders>
              <w:tl2br w:val="nil"/>
              <w:tr2bl w:val="nil"/>
            </w:tcBorders>
            <w:vAlign w:val="center"/>
          </w:tcPr>
          <w:p>
            <w:pPr>
              <w:jc w:val="center"/>
              <w:rPr>
                <w:rFonts w:hint="default" w:ascii="宋体" w:cs="宋体" w:eastAsiaTheme="minorEastAsia"/>
                <w:sz w:val="20"/>
                <w:lang w:val="en-US" w:eastAsia="zh-CN"/>
              </w:rPr>
            </w:pPr>
            <w:r>
              <w:rPr>
                <w:rFonts w:hint="eastAsia" w:ascii="宋体" w:cs="宋体"/>
                <w:sz w:val="20"/>
                <w:lang w:val="en-US" w:eastAsia="zh-CN"/>
              </w:rPr>
              <w:t>淮北市住房公积金管理中心</w:t>
            </w:r>
          </w:p>
        </w:tc>
        <w:tc>
          <w:tcPr>
            <w:tcW w:w="1503" w:type="dxa"/>
            <w:tcBorders>
              <w:tl2br w:val="nil"/>
              <w:tr2bl w:val="nil"/>
            </w:tcBorders>
            <w:vAlign w:val="center"/>
          </w:tcPr>
          <w:p>
            <w:pPr>
              <w:widowControl/>
              <w:jc w:val="center"/>
              <w:textAlignment w:val="center"/>
            </w:pPr>
            <w:r>
              <w:rPr>
                <w:rFonts w:hint="eastAsia" w:ascii="宋体" w:hAnsi="宋体" w:eastAsia="宋体" w:cs="宋体"/>
                <w:color w:val="000000"/>
                <w:kern w:val="0"/>
                <w:sz w:val="20"/>
                <w:szCs w:val="20"/>
              </w:rPr>
              <w:t>实施单位</w:t>
            </w:r>
          </w:p>
        </w:tc>
        <w:tc>
          <w:tcPr>
            <w:tcW w:w="2380" w:type="dxa"/>
            <w:tcBorders>
              <w:tl2br w:val="nil"/>
              <w:tr2bl w:val="nil"/>
            </w:tcBorders>
            <w:vAlign w:val="center"/>
          </w:tcPr>
          <w:p>
            <w:pPr>
              <w:jc w:val="center"/>
              <w:rPr>
                <w:rFonts w:hint="default" w:eastAsiaTheme="minorEastAsia"/>
                <w:lang w:val="en-US" w:eastAsia="zh-CN"/>
              </w:rPr>
            </w:pPr>
            <w:r>
              <w:rPr>
                <w:rFonts w:hint="eastAsia"/>
                <w:sz w:val="18"/>
                <w:szCs w:val="18"/>
                <w:lang w:val="en-US" w:eastAsia="zh-CN"/>
              </w:rPr>
              <w:t>淮北市住房公积金管理中心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项目来源</w:t>
            </w:r>
          </w:p>
        </w:tc>
        <w:tc>
          <w:tcPr>
            <w:tcW w:w="3694" w:type="dxa"/>
            <w:gridSpan w:val="2"/>
            <w:tcBorders>
              <w:tl2br w:val="nil"/>
              <w:tr2bl w:val="nil"/>
            </w:tcBorders>
            <w:vAlign w:val="center"/>
          </w:tcPr>
          <w:p>
            <w:pPr>
              <w:jc w:val="center"/>
              <w:rPr>
                <w:rFonts w:hint="eastAsia" w:ascii="宋体" w:cs="宋体" w:eastAsiaTheme="minorEastAsia"/>
                <w:sz w:val="20"/>
                <w:lang w:val="en-US" w:eastAsia="zh-CN"/>
              </w:rPr>
            </w:pPr>
            <w:r>
              <w:rPr>
                <w:rFonts w:hint="eastAsia" w:ascii="宋体" w:cs="宋体"/>
                <w:sz w:val="20"/>
                <w:lang w:val="en-US" w:eastAsia="zh-CN"/>
              </w:rPr>
              <w:t>单位申报</w:t>
            </w:r>
          </w:p>
        </w:tc>
        <w:tc>
          <w:tcPr>
            <w:tcW w:w="1503" w:type="dxa"/>
            <w:tcBorders>
              <w:tl2br w:val="nil"/>
              <w:tr2bl w:val="nil"/>
            </w:tcBorders>
            <w:vAlign w:val="center"/>
          </w:tcPr>
          <w:p>
            <w:pPr>
              <w:widowControl/>
              <w:jc w:val="center"/>
              <w:textAlignment w:val="center"/>
            </w:pPr>
            <w:r>
              <w:rPr>
                <w:rFonts w:hint="eastAsia" w:ascii="宋体" w:hAnsi="宋体" w:eastAsia="宋体" w:cs="宋体"/>
                <w:color w:val="000000"/>
                <w:kern w:val="0"/>
                <w:sz w:val="20"/>
                <w:szCs w:val="20"/>
              </w:rPr>
              <w:t>项目期</w:t>
            </w:r>
          </w:p>
        </w:tc>
        <w:tc>
          <w:tcPr>
            <w:tcW w:w="2380" w:type="dxa"/>
            <w:tcBorders>
              <w:tl2br w:val="nil"/>
              <w:tr2bl w:val="nil"/>
            </w:tcBorders>
            <w:vAlign w:val="center"/>
          </w:tcPr>
          <w:p>
            <w:pPr>
              <w:jc w:val="center"/>
              <w:rPr>
                <w:rFonts w:hint="default" w:eastAsiaTheme="minorEastAsia"/>
                <w:lang w:val="en-US" w:eastAsia="zh-CN"/>
              </w:rPr>
            </w:pPr>
            <w:r>
              <w:rPr>
                <w:rFonts w:hint="eastAsia"/>
                <w:lang w:val="en-US" w:eastAsia="zh-CN"/>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项目资金</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（万元）</w:t>
            </w:r>
          </w:p>
        </w:tc>
        <w:tc>
          <w:tcPr>
            <w:tcW w:w="3694"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年度资金总额：</w:t>
            </w:r>
          </w:p>
        </w:tc>
        <w:tc>
          <w:tcPr>
            <w:tcW w:w="3883" w:type="dxa"/>
            <w:gridSpan w:val="2"/>
            <w:tcBorders>
              <w:tl2br w:val="nil"/>
              <w:tr2bl w:val="nil"/>
            </w:tcBorders>
            <w:vAlign w:val="center"/>
          </w:tcPr>
          <w:p>
            <w:pPr>
              <w:jc w:val="right"/>
              <w:rPr>
                <w:rFonts w:hint="default" w:ascii="宋体" w:cs="宋体"/>
                <w:sz w:val="20"/>
                <w:lang w:val="en-US"/>
              </w:rPr>
            </w:pPr>
            <w:r>
              <w:rPr>
                <w:rFonts w:hint="default" w:ascii="宋体" w:cs="宋体"/>
                <w:sz w:val="20"/>
                <w:lang w:val="en-US"/>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宋体" w:cs="宋体"/>
                <w:sz w:val="20"/>
              </w:rPr>
            </w:pPr>
          </w:p>
        </w:tc>
        <w:tc>
          <w:tcPr>
            <w:tcW w:w="3694"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其中：财政拨款</w:t>
            </w:r>
          </w:p>
        </w:tc>
        <w:tc>
          <w:tcPr>
            <w:tcW w:w="3883" w:type="dxa"/>
            <w:gridSpan w:val="2"/>
            <w:tcBorders>
              <w:tl2br w:val="nil"/>
              <w:tr2bl w:val="nil"/>
            </w:tcBorders>
            <w:vAlign w:val="center"/>
          </w:tcPr>
          <w:p>
            <w:pPr>
              <w:jc w:val="right"/>
              <w:rPr>
                <w:rFonts w:hint="default" w:ascii="宋体" w:cs="宋体"/>
                <w:sz w:val="20"/>
                <w:lang w:val="en-US"/>
              </w:rPr>
            </w:pPr>
            <w:r>
              <w:rPr>
                <w:rFonts w:hint="default" w:ascii="宋体" w:cs="宋体"/>
                <w:sz w:val="20"/>
                <w:lang w:val="en-US"/>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宋体" w:cs="宋体"/>
                <w:sz w:val="20"/>
              </w:rPr>
            </w:pPr>
          </w:p>
        </w:tc>
        <w:tc>
          <w:tcPr>
            <w:tcW w:w="3694"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上年结转</w:t>
            </w:r>
          </w:p>
        </w:tc>
        <w:tc>
          <w:tcPr>
            <w:tcW w:w="3883" w:type="dxa"/>
            <w:gridSpan w:val="2"/>
            <w:tcBorders>
              <w:tl2br w:val="nil"/>
              <w:tr2bl w:val="nil"/>
            </w:tcBorders>
            <w:vAlign w:val="center"/>
          </w:tcPr>
          <w:p>
            <w:pPr>
              <w:jc w:val="center"/>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宋体" w:cs="宋体"/>
                <w:sz w:val="20"/>
              </w:rPr>
            </w:pPr>
          </w:p>
        </w:tc>
        <w:tc>
          <w:tcPr>
            <w:tcW w:w="3694"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其他资金</w:t>
            </w:r>
          </w:p>
        </w:tc>
        <w:tc>
          <w:tcPr>
            <w:tcW w:w="3883" w:type="dxa"/>
            <w:gridSpan w:val="2"/>
            <w:tcBorders>
              <w:tl2br w:val="nil"/>
              <w:tr2bl w:val="nil"/>
            </w:tcBorders>
            <w:vAlign w:val="center"/>
          </w:tcPr>
          <w:p>
            <w:pPr>
              <w:jc w:val="right"/>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438" w:type="dxa"/>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年度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目标</w:t>
            </w:r>
          </w:p>
        </w:tc>
        <w:tc>
          <w:tcPr>
            <w:tcW w:w="8582" w:type="dxa"/>
            <w:gridSpan w:val="6"/>
            <w:tcBorders>
              <w:tl2br w:val="nil"/>
              <w:tr2bl w:val="nil"/>
            </w:tcBorders>
            <w:vAlign w:val="center"/>
          </w:tcPr>
          <w:p>
            <w:pPr>
              <w:jc w:val="left"/>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438" w:type="dxa"/>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绩</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效</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标</w:t>
            </w:r>
          </w:p>
        </w:tc>
        <w:tc>
          <w:tcPr>
            <w:tcW w:w="723" w:type="dxa"/>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一级</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指标</w:t>
            </w:r>
          </w:p>
        </w:tc>
        <w:tc>
          <w:tcPr>
            <w:tcW w:w="1666"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二级指标</w:t>
            </w:r>
          </w:p>
        </w:tc>
        <w:tc>
          <w:tcPr>
            <w:tcW w:w="2310" w:type="dxa"/>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三级指标</w:t>
            </w:r>
          </w:p>
        </w:tc>
        <w:tc>
          <w:tcPr>
            <w:tcW w:w="3883" w:type="dxa"/>
            <w:gridSpan w:val="2"/>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产出指标</w:t>
            </w:r>
          </w:p>
        </w:tc>
        <w:tc>
          <w:tcPr>
            <w:tcW w:w="1666"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数量指标</w:t>
            </w:r>
          </w:p>
        </w:tc>
        <w:tc>
          <w:tcPr>
            <w:tcW w:w="2310" w:type="dxa"/>
            <w:tcBorders>
              <w:tl2br w:val="nil"/>
              <w:tr2bl w:val="nil"/>
            </w:tcBorders>
            <w:vAlign w:val="center"/>
          </w:tcPr>
          <w:p>
            <w:pPr>
              <w:widowControl/>
              <w:jc w:val="left"/>
              <w:textAlignment w:val="center"/>
              <w:rPr>
                <w:rFonts w:hint="default" w:ascii="宋体" w:eastAsia="宋体" w:cs="宋体"/>
                <w:sz w:val="20"/>
                <w:lang w:val="en-US" w:eastAsia="zh-CN"/>
              </w:rPr>
            </w:pPr>
            <w:r>
              <w:rPr>
                <w:rFonts w:hint="eastAsia" w:ascii="宋体" w:hAnsi="宋体" w:eastAsia="宋体" w:cs="宋体"/>
                <w:color w:val="000000"/>
                <w:kern w:val="0"/>
                <w:sz w:val="20"/>
                <w:szCs w:val="20"/>
              </w:rPr>
              <w:t>指标：</w:t>
            </w:r>
            <w:r>
              <w:rPr>
                <w:rFonts w:hint="eastAsia" w:ascii="宋体" w:hAnsi="宋体" w:eastAsia="宋体" w:cs="宋体"/>
                <w:color w:val="000000"/>
                <w:kern w:val="0"/>
                <w:sz w:val="20"/>
                <w:szCs w:val="20"/>
                <w:lang w:val="en-US" w:eastAsia="zh-CN"/>
              </w:rPr>
              <w:t>办公大楼运行费</w:t>
            </w:r>
          </w:p>
        </w:tc>
        <w:tc>
          <w:tcPr>
            <w:tcW w:w="3883" w:type="dxa"/>
            <w:gridSpan w:val="2"/>
            <w:tcBorders>
              <w:tl2br w:val="nil"/>
              <w:tr2bl w:val="nil"/>
            </w:tcBorders>
            <w:vAlign w:val="center"/>
          </w:tcPr>
          <w:p>
            <w:pPr>
              <w:jc w:val="center"/>
              <w:rPr>
                <w:rFonts w:hint="default" w:ascii="宋体" w:cs="宋体"/>
                <w:sz w:val="20"/>
                <w:lang w:val="en-US"/>
              </w:rPr>
            </w:pPr>
            <w:r>
              <w:rPr>
                <w:rFonts w:hint="default" w:ascii="宋体" w:cs="宋体"/>
                <w:sz w:val="20"/>
                <w:lang w:val="en-US"/>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1666"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质量指标</w:t>
            </w:r>
          </w:p>
        </w:tc>
        <w:tc>
          <w:tcPr>
            <w:tcW w:w="2310" w:type="dxa"/>
            <w:tcBorders>
              <w:tl2br w:val="nil"/>
              <w:tr2bl w:val="nil"/>
            </w:tcBorders>
            <w:vAlign w:val="center"/>
          </w:tcPr>
          <w:p>
            <w:pPr>
              <w:widowControl/>
              <w:jc w:val="left"/>
              <w:textAlignment w:val="center"/>
              <w:rPr>
                <w:rFonts w:hint="default" w:ascii="宋体" w:eastAsia="宋体" w:cs="宋体"/>
                <w:sz w:val="20"/>
                <w:lang w:val="en-US" w:eastAsia="zh-CN"/>
              </w:rPr>
            </w:pPr>
            <w:r>
              <w:rPr>
                <w:rFonts w:hint="eastAsia" w:ascii="宋体" w:hAnsi="宋体" w:eastAsia="宋体" w:cs="宋体"/>
                <w:color w:val="000000"/>
                <w:kern w:val="0"/>
                <w:sz w:val="20"/>
                <w:szCs w:val="20"/>
              </w:rPr>
              <w:t>指标：</w:t>
            </w:r>
            <w:r>
              <w:rPr>
                <w:rFonts w:hint="eastAsia" w:ascii="宋体" w:hAnsi="宋体" w:eastAsia="宋体" w:cs="宋体"/>
                <w:color w:val="000000"/>
                <w:kern w:val="0"/>
                <w:sz w:val="20"/>
                <w:szCs w:val="20"/>
                <w:lang w:val="en-US" w:eastAsia="zh-CN"/>
              </w:rPr>
              <w:t>经费支出合规性</w:t>
            </w:r>
          </w:p>
        </w:tc>
        <w:tc>
          <w:tcPr>
            <w:tcW w:w="3883" w:type="dxa"/>
            <w:gridSpan w:val="2"/>
            <w:tcBorders>
              <w:tl2br w:val="nil"/>
              <w:tr2bl w:val="nil"/>
            </w:tcBorders>
            <w:vAlign w:val="center"/>
          </w:tcPr>
          <w:p>
            <w:pPr>
              <w:jc w:val="center"/>
              <w:rPr>
                <w:rFonts w:hint="default" w:ascii="宋体" w:cs="宋体" w:eastAsiaTheme="minorEastAsia"/>
                <w:sz w:val="20"/>
                <w:lang w:val="en-US" w:eastAsia="zh-CN"/>
              </w:rPr>
            </w:pPr>
            <w:r>
              <w:rPr>
                <w:rFonts w:hint="eastAsia" w:ascii="宋体" w:cs="宋体"/>
                <w:sz w:val="20"/>
                <w:lang w:val="en-US" w:eastAsia="zh-CN"/>
              </w:rPr>
              <w:t>合规合理节约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1666"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时效指标</w:t>
            </w:r>
          </w:p>
        </w:tc>
        <w:tc>
          <w:tcPr>
            <w:tcW w:w="2310" w:type="dxa"/>
            <w:tcBorders>
              <w:tl2br w:val="nil"/>
              <w:tr2bl w:val="nil"/>
            </w:tcBorders>
            <w:vAlign w:val="center"/>
          </w:tcPr>
          <w:p>
            <w:pPr>
              <w:widowControl/>
              <w:jc w:val="left"/>
              <w:textAlignment w:val="center"/>
              <w:rPr>
                <w:rFonts w:hint="default" w:ascii="宋体" w:eastAsia="宋体" w:cs="宋体"/>
                <w:sz w:val="20"/>
                <w:lang w:val="en-US" w:eastAsia="zh-CN"/>
              </w:rPr>
            </w:pPr>
            <w:r>
              <w:rPr>
                <w:rFonts w:hint="eastAsia" w:ascii="宋体" w:hAnsi="宋体" w:eastAsia="宋体" w:cs="宋体"/>
                <w:color w:val="000000"/>
                <w:kern w:val="0"/>
                <w:sz w:val="20"/>
                <w:szCs w:val="20"/>
              </w:rPr>
              <w:t>指标：</w:t>
            </w:r>
            <w:r>
              <w:rPr>
                <w:rFonts w:hint="eastAsia" w:ascii="宋体" w:hAnsi="宋体" w:eastAsia="宋体" w:cs="宋体"/>
                <w:color w:val="000000"/>
                <w:kern w:val="0"/>
                <w:sz w:val="20"/>
                <w:szCs w:val="20"/>
                <w:lang w:val="en-US" w:eastAsia="zh-CN"/>
              </w:rPr>
              <w:t>经费支出时效性</w:t>
            </w:r>
          </w:p>
        </w:tc>
        <w:tc>
          <w:tcPr>
            <w:tcW w:w="3883" w:type="dxa"/>
            <w:gridSpan w:val="2"/>
            <w:tcBorders>
              <w:tl2br w:val="nil"/>
              <w:tr2bl w:val="nil"/>
            </w:tcBorders>
            <w:vAlign w:val="center"/>
          </w:tcPr>
          <w:p>
            <w:pPr>
              <w:jc w:val="center"/>
              <w:rPr>
                <w:rFonts w:hint="eastAsia" w:ascii="宋体" w:cs="宋体" w:eastAsiaTheme="minorEastAsia"/>
                <w:sz w:val="20"/>
                <w:lang w:val="en-US" w:eastAsia="zh-CN"/>
              </w:rPr>
            </w:pPr>
            <w:r>
              <w:rPr>
                <w:rFonts w:hint="eastAsia" w:ascii="宋体" w:cs="宋体"/>
                <w:sz w:val="20"/>
                <w:lang w:val="en-US" w:eastAsia="zh-CN"/>
              </w:rPr>
              <w:t>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1666"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成本指标</w:t>
            </w:r>
          </w:p>
        </w:tc>
        <w:tc>
          <w:tcPr>
            <w:tcW w:w="2310" w:type="dxa"/>
            <w:tcBorders>
              <w:tl2br w:val="nil"/>
              <w:tr2bl w:val="nil"/>
            </w:tcBorders>
            <w:vAlign w:val="center"/>
          </w:tcPr>
          <w:p>
            <w:pPr>
              <w:widowControl/>
              <w:jc w:val="left"/>
              <w:textAlignment w:val="center"/>
              <w:rPr>
                <w:rFonts w:hint="default" w:ascii="宋体" w:eastAsia="宋体" w:cs="宋体"/>
                <w:sz w:val="20"/>
                <w:lang w:val="en-US" w:eastAsia="zh-CN"/>
              </w:rPr>
            </w:pPr>
            <w:r>
              <w:rPr>
                <w:rFonts w:hint="eastAsia" w:ascii="宋体" w:hAnsi="宋体" w:eastAsia="宋体" w:cs="宋体"/>
                <w:color w:val="000000"/>
                <w:kern w:val="0"/>
                <w:sz w:val="20"/>
                <w:szCs w:val="20"/>
              </w:rPr>
              <w:t>指标：</w:t>
            </w:r>
            <w:r>
              <w:rPr>
                <w:rFonts w:hint="eastAsia" w:ascii="宋体" w:hAnsi="宋体" w:eastAsia="宋体" w:cs="宋体"/>
                <w:color w:val="000000"/>
                <w:kern w:val="0"/>
                <w:sz w:val="20"/>
                <w:szCs w:val="20"/>
                <w:lang w:val="en-US" w:eastAsia="zh-CN"/>
              </w:rPr>
              <w:t>办公大楼运行费</w:t>
            </w:r>
          </w:p>
        </w:tc>
        <w:tc>
          <w:tcPr>
            <w:tcW w:w="3883" w:type="dxa"/>
            <w:gridSpan w:val="2"/>
            <w:tcBorders>
              <w:tl2br w:val="nil"/>
              <w:tr2bl w:val="nil"/>
            </w:tcBorders>
            <w:vAlign w:val="center"/>
          </w:tcPr>
          <w:p>
            <w:pPr>
              <w:jc w:val="center"/>
              <w:rPr>
                <w:rFonts w:hint="default" w:ascii="宋体" w:cs="宋体"/>
                <w:sz w:val="20"/>
                <w:lang w:val="en-US"/>
              </w:rPr>
            </w:pPr>
            <w:r>
              <w:rPr>
                <w:rFonts w:hint="default" w:ascii="宋体" w:cs="宋体"/>
                <w:sz w:val="20"/>
                <w:lang w:val="en-US"/>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效益指标</w:t>
            </w:r>
          </w:p>
        </w:tc>
        <w:tc>
          <w:tcPr>
            <w:tcW w:w="1666"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经济效益指标</w:t>
            </w:r>
          </w:p>
        </w:tc>
        <w:tc>
          <w:tcPr>
            <w:tcW w:w="2310" w:type="dxa"/>
            <w:tcBorders>
              <w:tl2br w:val="nil"/>
              <w:tr2bl w:val="nil"/>
            </w:tcBorders>
            <w:vAlign w:val="center"/>
          </w:tcPr>
          <w:p>
            <w:pPr>
              <w:widowControl/>
              <w:jc w:val="left"/>
              <w:textAlignment w:val="center"/>
              <w:rPr>
                <w:rFonts w:hint="eastAsia" w:ascii="宋体" w:eastAsia="宋体" w:cs="宋体"/>
                <w:sz w:val="20"/>
                <w:lang w:val="en-US" w:eastAsia="zh-CN"/>
              </w:rPr>
            </w:pPr>
            <w:r>
              <w:rPr>
                <w:rFonts w:hint="eastAsia" w:ascii="宋体" w:hAnsi="宋体" w:eastAsia="宋体" w:cs="宋体"/>
                <w:color w:val="000000"/>
                <w:kern w:val="0"/>
                <w:sz w:val="20"/>
                <w:szCs w:val="20"/>
              </w:rPr>
              <w:t>指标：</w:t>
            </w:r>
            <w:r>
              <w:rPr>
                <w:rFonts w:hint="eastAsia" w:ascii="宋体" w:hAnsi="宋体" w:eastAsia="宋体" w:cs="宋体"/>
                <w:color w:val="000000"/>
                <w:kern w:val="0"/>
                <w:sz w:val="20"/>
                <w:szCs w:val="20"/>
                <w:lang w:val="en-US" w:eastAsia="zh-CN"/>
              </w:rPr>
              <w:t>经济效益</w:t>
            </w:r>
          </w:p>
        </w:tc>
        <w:tc>
          <w:tcPr>
            <w:tcW w:w="3883" w:type="dxa"/>
            <w:gridSpan w:val="2"/>
            <w:tcBorders>
              <w:tl2br w:val="nil"/>
              <w:tr2bl w:val="nil"/>
            </w:tcBorders>
            <w:vAlign w:val="center"/>
          </w:tcPr>
          <w:p>
            <w:pPr>
              <w:jc w:val="center"/>
              <w:rPr>
                <w:rFonts w:hint="eastAsia" w:ascii="宋体" w:cs="宋体" w:eastAsiaTheme="minorEastAsia"/>
                <w:sz w:val="20"/>
                <w:lang w:val="en-US" w:eastAsia="zh-CN"/>
              </w:rPr>
            </w:pPr>
            <w:r>
              <w:rPr>
                <w:rFonts w:hint="eastAsia" w:ascii="宋体" w:cs="宋体"/>
                <w:sz w:val="20"/>
                <w:lang w:val="en-US" w:eastAsia="zh-CN"/>
              </w:rPr>
              <w:t>最大化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1666"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社会效益指标</w:t>
            </w:r>
          </w:p>
        </w:tc>
        <w:tc>
          <w:tcPr>
            <w:tcW w:w="2310" w:type="dxa"/>
            <w:tcBorders>
              <w:tl2br w:val="nil"/>
              <w:tr2bl w:val="nil"/>
            </w:tcBorders>
            <w:vAlign w:val="center"/>
          </w:tcPr>
          <w:p>
            <w:pPr>
              <w:widowControl/>
              <w:jc w:val="left"/>
              <w:textAlignment w:val="center"/>
              <w:rPr>
                <w:rFonts w:hint="default" w:ascii="宋体" w:eastAsia="宋体" w:cs="宋体"/>
                <w:sz w:val="20"/>
                <w:lang w:val="en-US" w:eastAsia="zh-CN"/>
              </w:rPr>
            </w:pPr>
            <w:r>
              <w:rPr>
                <w:rFonts w:hint="eastAsia" w:ascii="宋体" w:hAnsi="宋体" w:eastAsia="宋体" w:cs="宋体"/>
                <w:color w:val="000000"/>
                <w:kern w:val="0"/>
                <w:sz w:val="20"/>
                <w:szCs w:val="20"/>
              </w:rPr>
              <w:t>指标：</w:t>
            </w:r>
            <w:r>
              <w:rPr>
                <w:rFonts w:hint="eastAsia" w:ascii="宋体" w:hAnsi="宋体" w:eastAsia="宋体" w:cs="宋体"/>
                <w:color w:val="000000"/>
                <w:kern w:val="0"/>
                <w:sz w:val="20"/>
                <w:szCs w:val="20"/>
                <w:lang w:val="en-US" w:eastAsia="zh-CN"/>
              </w:rPr>
              <w:t>对办公运营环境的改善或提升程度</w:t>
            </w:r>
          </w:p>
        </w:tc>
        <w:tc>
          <w:tcPr>
            <w:tcW w:w="3883" w:type="dxa"/>
            <w:gridSpan w:val="2"/>
            <w:tcBorders>
              <w:tl2br w:val="nil"/>
              <w:tr2bl w:val="nil"/>
            </w:tcBorders>
            <w:vAlign w:val="center"/>
          </w:tcPr>
          <w:p>
            <w:pPr>
              <w:jc w:val="center"/>
              <w:rPr>
                <w:rFonts w:hint="eastAsia" w:ascii="宋体" w:cs="宋体" w:eastAsiaTheme="minorEastAsia"/>
                <w:sz w:val="20"/>
                <w:lang w:val="en-US" w:eastAsia="zh-CN"/>
              </w:rPr>
            </w:pPr>
            <w:r>
              <w:rPr>
                <w:rFonts w:hint="eastAsia" w:ascii="宋体" w:cs="宋体"/>
                <w:sz w:val="20"/>
                <w:lang w:val="en-US" w:eastAsia="zh-CN"/>
              </w:rPr>
              <w:t>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1666"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生态效益指标</w:t>
            </w:r>
          </w:p>
        </w:tc>
        <w:tc>
          <w:tcPr>
            <w:tcW w:w="2310" w:type="dxa"/>
            <w:tcBorders>
              <w:tl2br w:val="nil"/>
              <w:tr2bl w:val="nil"/>
            </w:tcBorders>
            <w:vAlign w:val="center"/>
          </w:tcPr>
          <w:p>
            <w:pPr>
              <w:widowControl/>
              <w:jc w:val="left"/>
              <w:textAlignment w:val="center"/>
              <w:rPr>
                <w:rFonts w:hint="default" w:ascii="宋体" w:eastAsia="宋体" w:cs="宋体"/>
                <w:sz w:val="20"/>
                <w:lang w:val="en-US" w:eastAsia="zh-CN"/>
              </w:rPr>
            </w:pPr>
            <w:r>
              <w:rPr>
                <w:rFonts w:hint="eastAsia" w:ascii="宋体" w:hAnsi="宋体" w:eastAsia="宋体" w:cs="宋体"/>
                <w:color w:val="000000"/>
                <w:kern w:val="0"/>
                <w:sz w:val="20"/>
                <w:szCs w:val="20"/>
              </w:rPr>
              <w:t>指标：</w:t>
            </w:r>
            <w:r>
              <w:rPr>
                <w:rFonts w:hint="eastAsia" w:ascii="宋体" w:hAnsi="宋体" w:eastAsia="宋体" w:cs="宋体"/>
                <w:color w:val="000000"/>
                <w:kern w:val="0"/>
                <w:sz w:val="20"/>
                <w:szCs w:val="20"/>
                <w:lang w:val="en-US" w:eastAsia="zh-CN"/>
              </w:rPr>
              <w:t>水电能耗节约率</w:t>
            </w:r>
          </w:p>
        </w:tc>
        <w:tc>
          <w:tcPr>
            <w:tcW w:w="3883" w:type="dxa"/>
            <w:gridSpan w:val="2"/>
            <w:tcBorders>
              <w:tl2br w:val="nil"/>
              <w:tr2bl w:val="nil"/>
            </w:tcBorders>
            <w:vAlign w:val="center"/>
          </w:tcPr>
          <w:p>
            <w:pPr>
              <w:jc w:val="center"/>
              <w:rPr>
                <w:rFonts w:hint="eastAsia" w:ascii="宋体" w:cs="宋体" w:eastAsiaTheme="minorEastAsia"/>
                <w:sz w:val="20"/>
                <w:lang w:val="en-US" w:eastAsia="zh-CN"/>
              </w:rPr>
            </w:pPr>
            <w:r>
              <w:rPr>
                <w:rFonts w:hint="eastAsia" w:ascii="宋体" w:cs="宋体"/>
                <w:sz w:val="20"/>
                <w:lang w:val="en-US" w:eastAsia="zh-CN"/>
              </w:rPr>
              <w:t>节能减排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1666" w:type="dxa"/>
            <w:gridSpan w:val="2"/>
            <w:tcBorders>
              <w:tl2br w:val="nil"/>
              <w:tr2bl w:val="nil"/>
            </w:tcBorders>
            <w:vAlign w:val="center"/>
          </w:tcPr>
          <w:p>
            <w:pPr>
              <w:widowControl/>
              <w:spacing w:line="200" w:lineRule="exact"/>
              <w:jc w:val="center"/>
              <w:rPr>
                <w:rFonts w:ascii="宋体" w:hAnsi="宋体" w:eastAsia="宋体" w:cs="宋体"/>
                <w:sz w:val="20"/>
              </w:rPr>
            </w:pPr>
            <w:r>
              <w:rPr>
                <w:rFonts w:hint="eastAsia" w:ascii="宋体" w:hAnsi="宋体" w:eastAsia="宋体" w:cs="宋体"/>
                <w:sz w:val="20"/>
              </w:rPr>
              <w:t>可持续影响指标</w:t>
            </w:r>
          </w:p>
        </w:tc>
        <w:tc>
          <w:tcPr>
            <w:tcW w:w="2310" w:type="dxa"/>
            <w:tcBorders>
              <w:tl2br w:val="nil"/>
              <w:tr2bl w:val="nil"/>
            </w:tcBorders>
            <w:vAlign w:val="center"/>
          </w:tcPr>
          <w:p>
            <w:pPr>
              <w:widowControl/>
              <w:jc w:val="left"/>
              <w:textAlignment w:val="center"/>
              <w:rPr>
                <w:rFonts w:hint="default" w:ascii="宋体" w:hAnsi="宋体" w:eastAsia="宋体" w:cs="宋体"/>
                <w:sz w:val="20"/>
                <w:lang w:val="en-US" w:eastAsia="zh-CN"/>
              </w:rPr>
            </w:pPr>
            <w:r>
              <w:rPr>
                <w:rFonts w:hint="eastAsia" w:ascii="宋体" w:hAnsi="宋体" w:eastAsia="宋体" w:cs="宋体"/>
                <w:color w:val="000000"/>
                <w:kern w:val="0"/>
                <w:sz w:val="20"/>
                <w:szCs w:val="20"/>
              </w:rPr>
              <w:t>指标：</w:t>
            </w:r>
            <w:r>
              <w:rPr>
                <w:rFonts w:hint="eastAsia" w:ascii="宋体" w:hAnsi="宋体" w:eastAsia="宋体" w:cs="宋体"/>
                <w:color w:val="000000"/>
                <w:kern w:val="0"/>
                <w:sz w:val="20"/>
                <w:szCs w:val="20"/>
                <w:lang w:eastAsia="zh-CN"/>
              </w:rPr>
              <w:t>对</w:t>
            </w:r>
            <w:r>
              <w:rPr>
                <w:rFonts w:hint="eastAsia" w:ascii="宋体" w:hAnsi="宋体" w:eastAsia="宋体" w:cs="宋体"/>
                <w:color w:val="000000"/>
                <w:kern w:val="0"/>
                <w:sz w:val="20"/>
                <w:szCs w:val="20"/>
                <w:lang w:val="en-US" w:eastAsia="zh-CN"/>
              </w:rPr>
              <w:t>保障机关正常运营的持续影响程度</w:t>
            </w:r>
          </w:p>
        </w:tc>
        <w:tc>
          <w:tcPr>
            <w:tcW w:w="3883" w:type="dxa"/>
            <w:gridSpan w:val="2"/>
            <w:tcBorders>
              <w:tl2br w:val="nil"/>
              <w:tr2bl w:val="nil"/>
            </w:tcBorders>
            <w:vAlign w:val="center"/>
          </w:tcPr>
          <w:p>
            <w:pPr>
              <w:jc w:val="center"/>
              <w:rPr>
                <w:rFonts w:hint="default" w:ascii="宋体" w:cs="宋体" w:eastAsiaTheme="minorEastAsia"/>
                <w:sz w:val="20"/>
                <w:lang w:val="en-US" w:eastAsia="zh-CN"/>
              </w:rPr>
            </w:pPr>
            <w:r>
              <w:rPr>
                <w:rFonts w:hint="eastAsia" w:ascii="宋体" w:cs="宋体"/>
                <w:sz w:val="20"/>
                <w:lang w:val="en-US" w:eastAsia="zh-CN"/>
              </w:rPr>
              <w:t>保障正常有序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tcBorders>
              <w:tl2br w:val="nil"/>
              <w:tr2bl w:val="nil"/>
            </w:tcBorders>
            <w:vAlign w:val="center"/>
          </w:tcPr>
          <w:p>
            <w:pPr>
              <w:widowControl/>
              <w:spacing w:line="200" w:lineRule="exact"/>
              <w:jc w:val="center"/>
              <w:rPr>
                <w:rFonts w:ascii="宋体" w:hAnsi="宋体" w:eastAsia="宋体" w:cs="宋体"/>
                <w:sz w:val="20"/>
              </w:rPr>
            </w:pPr>
            <w:r>
              <w:rPr>
                <w:rFonts w:hint="eastAsia" w:ascii="宋体" w:hAnsi="宋体" w:eastAsia="宋体" w:cs="宋体"/>
                <w:sz w:val="20"/>
              </w:rPr>
              <w:t>满意度指标</w:t>
            </w:r>
          </w:p>
        </w:tc>
        <w:tc>
          <w:tcPr>
            <w:tcW w:w="1666" w:type="dxa"/>
            <w:gridSpan w:val="2"/>
            <w:tcBorders>
              <w:tl2br w:val="nil"/>
              <w:tr2bl w:val="nil"/>
            </w:tcBorders>
            <w:vAlign w:val="center"/>
          </w:tcPr>
          <w:p>
            <w:pPr>
              <w:widowControl/>
              <w:spacing w:line="200" w:lineRule="exact"/>
              <w:jc w:val="center"/>
              <w:rPr>
                <w:rFonts w:ascii="宋体" w:hAnsi="宋体" w:eastAsia="宋体" w:cs="宋体"/>
                <w:sz w:val="20"/>
              </w:rPr>
            </w:pPr>
            <w:r>
              <w:rPr>
                <w:rFonts w:hint="eastAsia" w:ascii="宋体" w:hAnsi="宋体" w:eastAsia="宋体" w:cs="宋体"/>
                <w:sz w:val="20"/>
              </w:rPr>
              <w:t>满意度指标</w:t>
            </w:r>
          </w:p>
        </w:tc>
        <w:tc>
          <w:tcPr>
            <w:tcW w:w="2310" w:type="dxa"/>
            <w:tcBorders>
              <w:tl2br w:val="nil"/>
              <w:tr2bl w:val="nil"/>
            </w:tcBorders>
            <w:vAlign w:val="center"/>
          </w:tcPr>
          <w:p>
            <w:pPr>
              <w:widowControl/>
              <w:jc w:val="left"/>
              <w:textAlignment w:val="center"/>
              <w:rPr>
                <w:rFonts w:hint="eastAsia" w:ascii="宋体" w:hAnsi="宋体" w:eastAsia="宋体" w:cs="宋体"/>
                <w:sz w:val="20"/>
                <w:lang w:val="en-US" w:eastAsia="zh-CN"/>
              </w:rPr>
            </w:pPr>
            <w:r>
              <w:rPr>
                <w:rFonts w:hint="eastAsia" w:ascii="宋体" w:hAnsi="宋体" w:eastAsia="宋体" w:cs="宋体"/>
                <w:color w:val="000000"/>
                <w:kern w:val="0"/>
                <w:sz w:val="20"/>
                <w:szCs w:val="20"/>
              </w:rPr>
              <w:t>指标：</w:t>
            </w:r>
            <w:r>
              <w:rPr>
                <w:rFonts w:hint="eastAsia" w:ascii="宋体" w:hAnsi="宋体" w:eastAsia="宋体" w:cs="宋体"/>
                <w:color w:val="000000"/>
                <w:kern w:val="0"/>
                <w:sz w:val="20"/>
                <w:szCs w:val="20"/>
                <w:lang w:val="en-US" w:eastAsia="zh-CN"/>
              </w:rPr>
              <w:t>满意度</w:t>
            </w:r>
          </w:p>
        </w:tc>
        <w:tc>
          <w:tcPr>
            <w:tcW w:w="3883" w:type="dxa"/>
            <w:gridSpan w:val="2"/>
            <w:tcBorders>
              <w:tl2br w:val="nil"/>
              <w:tr2bl w:val="nil"/>
            </w:tcBorders>
            <w:vAlign w:val="center"/>
          </w:tcPr>
          <w:p>
            <w:pPr>
              <w:jc w:val="center"/>
              <w:rPr>
                <w:rFonts w:hint="default" w:ascii="宋体" w:cs="宋体"/>
                <w:sz w:val="20"/>
                <w:lang w:val="en-US"/>
              </w:rPr>
            </w:pPr>
            <w:r>
              <w:rPr>
                <w:rFonts w:hint="eastAsia" w:ascii="宋体" w:cs="宋体"/>
                <w:sz w:val="20"/>
              </w:rPr>
              <w:t>≥</w:t>
            </w:r>
            <w:r>
              <w:rPr>
                <w:rFonts w:hint="default" w:ascii="宋体" w:cs="宋体"/>
                <w:sz w:val="20"/>
                <w:lang w:val="en-US"/>
              </w:rPr>
              <w:t>99%</w:t>
            </w:r>
          </w:p>
        </w:tc>
      </w:tr>
    </w:tbl>
    <w:p>
      <w:pPr>
        <w:ind w:firstLine="420" w:firstLineChars="200"/>
      </w:pPr>
    </w:p>
    <w:p>
      <w:pPr>
        <w:ind w:firstLine="640" w:firstLineChars="200"/>
        <w:rPr>
          <w:rFonts w:ascii="TimesNewRoman" w:hAnsi="TimesNewRoman" w:eastAsia="仿宋_GB2312" w:cs="TimesNewRoman"/>
          <w:kern w:val="0"/>
          <w:sz w:val="32"/>
          <w:szCs w:val="32"/>
        </w:rPr>
      </w:pPr>
      <w:r>
        <w:rPr>
          <w:rFonts w:hint="default" w:ascii="TimesNewRoman" w:hAnsi="TimesNewRoman" w:eastAsia="仿宋_GB2312" w:cs="TimesNewRoman"/>
          <w:kern w:val="0"/>
          <w:sz w:val="32"/>
          <w:szCs w:val="32"/>
          <w:lang w:val="en-US"/>
        </w:rPr>
        <w:t>4</w:t>
      </w:r>
      <w:r>
        <w:rPr>
          <w:rFonts w:hint="eastAsia" w:ascii="TimesNewRoman" w:hAnsi="TimesNewRoman" w:eastAsia="仿宋_GB2312" w:cs="TimesNewRoman"/>
          <w:kern w:val="0"/>
          <w:sz w:val="32"/>
          <w:szCs w:val="32"/>
        </w:rPr>
        <w:t>、“</w:t>
      </w:r>
      <w:r>
        <w:rPr>
          <w:rFonts w:hint="eastAsia" w:ascii="TimesNewRoman" w:hAnsi="TimesNewRoman" w:eastAsia="仿宋_GB2312" w:cs="TimesNewRoman"/>
          <w:kern w:val="0"/>
          <w:sz w:val="32"/>
          <w:szCs w:val="32"/>
          <w:lang w:val="en-US" w:eastAsia="zh-CN"/>
        </w:rPr>
        <w:t>综合服务平台升级（升级项目）</w:t>
      </w:r>
      <w:r>
        <w:rPr>
          <w:rFonts w:hint="eastAsia" w:ascii="TimesNewRoman" w:hAnsi="TimesNewRoman" w:eastAsia="仿宋_GB2312" w:cs="TimesNewRoman"/>
          <w:kern w:val="0"/>
          <w:sz w:val="32"/>
          <w:szCs w:val="32"/>
        </w:rPr>
        <w:t>”项目。</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1）项目概述。淮北市住房公积金管理中心负责组织实施全市住房公积金各项管理工作，按照《住房和城乡建设部关于建立健全住房公积金综合服务平台的通知》（建金〔2019〕57号）文件精神要求，中心通过综合服务平台提供的门户网站、网上业务大厅、微信公众号、官方微博、服务热线、短信、手机客户端、自助终端等八大服务渠道，为全市住房公积金缴存职工在线提供住房公积金查询、缴存、提取、贷款等各类住房公积金服务。</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按照《安徽省人民政府办公厅关于进一步深化“互联网+政务服务”推进政务服务“一网、一门、一次”改革行动方案的通知》要求，公积金中心系统接入安徽省统一认证登录平台，并且实现单位及个人网上办事业务，实现“一网、一门、一次” 改革行动方案任务清单。</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（2）立项依据。《住房和城乡建设部关于建立健全住房公积金综合服务平台的通知》（建金〔2019〕57号）</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（3）实施主体</w:t>
      </w:r>
      <w:r>
        <w:rPr>
          <w:rFonts w:hint="eastAsia" w:ascii="TimesNewRoman" w:hAnsi="TimesNewRoman" w:eastAsia="仿宋_GB2312" w:cs="TimesNewRoman"/>
          <w:kern w:val="0"/>
          <w:sz w:val="32"/>
          <w:szCs w:val="32"/>
          <w:lang w:eastAsia="zh-CN"/>
        </w:rPr>
        <w:t>：</w:t>
      </w:r>
      <w:r>
        <w:rPr>
          <w:rFonts w:hint="eastAsia" w:ascii="TimesNewRoman" w:hAnsi="TimesNewRoman" w:eastAsia="仿宋_GB2312" w:cs="TimesNewRoman"/>
          <w:kern w:val="0"/>
          <w:sz w:val="32"/>
          <w:szCs w:val="32"/>
        </w:rPr>
        <w:t>淮北市住房公积金管理中心</w:t>
      </w:r>
    </w:p>
    <w:p>
      <w:pPr>
        <w:ind w:firstLine="640" w:firstLineChars="200"/>
        <w:rPr>
          <w:rFonts w:hint="default" w:ascii="TimesNewRoman" w:hAnsi="TimesNewRoman" w:eastAsia="仿宋_GB2312" w:cs="TimesNewRoman"/>
          <w:kern w:val="0"/>
          <w:sz w:val="32"/>
          <w:szCs w:val="32"/>
          <w:lang w:val="en-US" w:eastAsia="zh-CN"/>
        </w:rPr>
      </w:pPr>
      <w:r>
        <w:rPr>
          <w:rFonts w:hint="eastAsia" w:ascii="TimesNewRoman" w:hAnsi="TimesNewRoman" w:eastAsia="仿宋_GB2312" w:cs="TimesNewRoman"/>
          <w:kern w:val="0"/>
          <w:sz w:val="32"/>
          <w:szCs w:val="32"/>
        </w:rPr>
        <w:t>（4）起止时间</w:t>
      </w:r>
      <w:r>
        <w:rPr>
          <w:rFonts w:hint="eastAsia" w:ascii="TimesNewRoman" w:hAnsi="TimesNewRoman" w:eastAsia="仿宋_GB2312" w:cs="TimesNewRoman"/>
          <w:kern w:val="0"/>
          <w:sz w:val="32"/>
          <w:szCs w:val="32"/>
          <w:lang w:eastAsia="zh-CN"/>
        </w:rPr>
        <w:t>：</w:t>
      </w:r>
      <w:r>
        <w:rPr>
          <w:rFonts w:hint="default" w:ascii="TimesNewRoman" w:hAnsi="TimesNewRoman" w:eastAsia="仿宋_GB2312" w:cs="TimesNewRoman"/>
          <w:kern w:val="0"/>
          <w:sz w:val="32"/>
          <w:szCs w:val="32"/>
          <w:lang w:val="en-US"/>
        </w:rPr>
        <w:t>2024</w:t>
      </w:r>
      <w:r>
        <w:rPr>
          <w:rFonts w:hint="eastAsia" w:ascii="TimesNewRoman" w:hAnsi="TimesNewRoman" w:eastAsia="仿宋_GB2312" w:cs="TimesNewRoman"/>
          <w:kern w:val="0"/>
          <w:sz w:val="32"/>
          <w:szCs w:val="32"/>
          <w:lang w:val="en-US" w:eastAsia="zh-CN"/>
        </w:rPr>
        <w:t>年</w:t>
      </w:r>
      <w:r>
        <w:rPr>
          <w:rFonts w:hint="default" w:ascii="TimesNewRoman" w:hAnsi="TimesNewRoman" w:eastAsia="仿宋_GB2312" w:cs="TimesNewRoman"/>
          <w:kern w:val="0"/>
          <w:sz w:val="32"/>
          <w:szCs w:val="32"/>
          <w:lang w:val="en-US" w:eastAsia="zh-CN"/>
        </w:rPr>
        <w:t>1~12</w:t>
      </w:r>
      <w:r>
        <w:rPr>
          <w:rFonts w:hint="eastAsia" w:ascii="TimesNewRoman" w:hAnsi="TimesNewRoman" w:eastAsia="仿宋_GB2312" w:cs="TimesNewRoman"/>
          <w:kern w:val="0"/>
          <w:sz w:val="32"/>
          <w:szCs w:val="32"/>
          <w:lang w:val="en-US" w:eastAsia="zh-CN"/>
        </w:rPr>
        <w:t>月</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5）项目内容。按照综合服务平台以及政务服务要求，本次主要实现：长三角一体化接口对接、政务服务事项对接、全国数据共享平台对接及应用、电子档案对接、AI智能语音、贷款线上受理、综合服务平台设备升级等功能。</w:t>
      </w:r>
    </w:p>
    <w:p>
      <w:pPr>
        <w:ind w:firstLine="640" w:firstLineChars="200"/>
        <w:rPr>
          <w:rFonts w:hint="default" w:ascii="TimesNewRoman" w:hAnsi="TimesNewRoman" w:eastAsia="仿宋_GB2312" w:cs="TimesNewRoman"/>
          <w:kern w:val="0"/>
          <w:sz w:val="32"/>
          <w:szCs w:val="32"/>
          <w:lang w:val="en-US" w:eastAsia="zh-CN"/>
        </w:rPr>
      </w:pPr>
      <w:r>
        <w:rPr>
          <w:rFonts w:hint="eastAsia" w:ascii="TimesNewRoman" w:hAnsi="TimesNewRoman" w:eastAsia="仿宋_GB2312" w:cs="TimesNewRoman"/>
          <w:kern w:val="0"/>
          <w:sz w:val="32"/>
          <w:szCs w:val="32"/>
        </w:rPr>
        <w:t>（6）年度预算安排175</w:t>
      </w:r>
      <w:r>
        <w:rPr>
          <w:rFonts w:hint="eastAsia" w:ascii="TimesNewRoman" w:hAnsi="TimesNewRoman" w:eastAsia="仿宋_GB2312" w:cs="TimesNewRoman"/>
          <w:kern w:val="0"/>
          <w:sz w:val="32"/>
          <w:szCs w:val="32"/>
          <w:lang w:val="en-US" w:eastAsia="zh-CN"/>
        </w:rPr>
        <w:t>万元。</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（7）绩效目标。</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723"/>
        <w:gridCol w:w="282"/>
        <w:gridCol w:w="477"/>
        <w:gridCol w:w="2872"/>
        <w:gridCol w:w="1848"/>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9020" w:type="dxa"/>
            <w:gridSpan w:val="7"/>
            <w:tcBorders>
              <w:top w:val="nil"/>
              <w:left w:val="nil"/>
              <w:bottom w:val="nil"/>
              <w:right w:val="nil"/>
            </w:tcBorders>
            <w:vAlign w:val="center"/>
          </w:tcPr>
          <w:p>
            <w:pPr>
              <w:widowControl/>
              <w:jc w:val="center"/>
              <w:textAlignment w:val="center"/>
              <w:rPr>
                <w:rFonts w:ascii="宋体" w:cs="宋体"/>
                <w:b/>
                <w:bCs/>
                <w:szCs w:val="32"/>
              </w:rPr>
            </w:pPr>
            <w:r>
              <w:rPr>
                <w:rFonts w:hint="eastAsia" w:ascii="宋体" w:hAnsi="宋体" w:eastAsia="宋体" w:cs="宋体"/>
                <w:b/>
                <w:color w:val="000000"/>
                <w:kern w:val="0"/>
                <w:sz w:val="28"/>
                <w:szCs w:val="28"/>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020" w:type="dxa"/>
            <w:gridSpan w:val="7"/>
            <w:tcBorders>
              <w:top w:val="nil"/>
              <w:left w:val="nil"/>
              <w:right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 xml:space="preserve"> （2024年度）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项目名称</w:t>
            </w:r>
          </w:p>
        </w:tc>
        <w:tc>
          <w:tcPr>
            <w:tcW w:w="7577" w:type="dxa"/>
            <w:gridSpan w:val="4"/>
            <w:tcBorders>
              <w:tl2br w:val="nil"/>
              <w:tr2bl w:val="nil"/>
            </w:tcBorders>
            <w:vAlign w:val="center"/>
          </w:tcPr>
          <w:p>
            <w:pPr>
              <w:jc w:val="center"/>
              <w:rPr>
                <w:rFonts w:ascii="宋体" w:cs="宋体"/>
                <w:sz w:val="20"/>
              </w:rPr>
            </w:pPr>
            <w:r>
              <w:rPr>
                <w:rFonts w:hint="eastAsia" w:ascii="宋体" w:cs="宋体"/>
                <w:sz w:val="20"/>
              </w:rPr>
              <w:t>综合服务平台升级（升级项目）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443" w:type="dxa"/>
            <w:gridSpan w:val="3"/>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主管部门   及代码</w:t>
            </w:r>
          </w:p>
        </w:tc>
        <w:tc>
          <w:tcPr>
            <w:tcW w:w="3349" w:type="dxa"/>
            <w:gridSpan w:val="2"/>
            <w:tcBorders>
              <w:tl2br w:val="nil"/>
              <w:tr2bl w:val="nil"/>
            </w:tcBorders>
            <w:vAlign w:val="center"/>
          </w:tcPr>
          <w:p>
            <w:pPr>
              <w:jc w:val="center"/>
              <w:rPr>
                <w:rFonts w:hint="eastAsia" w:ascii="宋体" w:cs="宋体" w:eastAsiaTheme="minorEastAsia"/>
                <w:sz w:val="20"/>
                <w:lang w:val="en-US" w:eastAsia="zh-CN"/>
              </w:rPr>
            </w:pPr>
            <w:r>
              <w:rPr>
                <w:rFonts w:hint="eastAsia" w:ascii="宋体" w:cs="宋体"/>
                <w:sz w:val="20"/>
                <w:lang w:val="en-US" w:eastAsia="zh-CN"/>
              </w:rPr>
              <w:t>淮北市住房公积金管理中心</w:t>
            </w:r>
          </w:p>
        </w:tc>
        <w:tc>
          <w:tcPr>
            <w:tcW w:w="1848" w:type="dxa"/>
            <w:tcBorders>
              <w:tl2br w:val="nil"/>
              <w:tr2bl w:val="nil"/>
            </w:tcBorders>
            <w:vAlign w:val="center"/>
          </w:tcPr>
          <w:p>
            <w:pPr>
              <w:widowControl/>
              <w:jc w:val="center"/>
              <w:textAlignment w:val="center"/>
            </w:pPr>
            <w:r>
              <w:rPr>
                <w:rFonts w:hint="eastAsia" w:ascii="宋体" w:hAnsi="宋体" w:eastAsia="宋体" w:cs="宋体"/>
                <w:color w:val="000000"/>
                <w:kern w:val="0"/>
                <w:sz w:val="20"/>
                <w:szCs w:val="20"/>
              </w:rPr>
              <w:t>实施单位</w:t>
            </w:r>
          </w:p>
        </w:tc>
        <w:tc>
          <w:tcPr>
            <w:tcW w:w="2380" w:type="dxa"/>
            <w:tcBorders>
              <w:tl2br w:val="nil"/>
              <w:tr2bl w:val="nil"/>
            </w:tcBorders>
            <w:vAlign w:val="center"/>
          </w:tcPr>
          <w:p>
            <w:pPr>
              <w:jc w:val="center"/>
              <w:rPr>
                <w:rFonts w:hint="eastAsia" w:eastAsiaTheme="minorEastAsia"/>
                <w:lang w:val="en-US" w:eastAsia="zh-CN"/>
              </w:rPr>
            </w:pPr>
            <w:r>
              <w:rPr>
                <w:rFonts w:hint="eastAsia"/>
                <w:lang w:val="en-US" w:eastAsia="zh-CN"/>
              </w:rPr>
              <w:t>淮北市住房公积金管理中心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项目来源</w:t>
            </w:r>
          </w:p>
        </w:tc>
        <w:tc>
          <w:tcPr>
            <w:tcW w:w="3349" w:type="dxa"/>
            <w:gridSpan w:val="2"/>
            <w:tcBorders>
              <w:tl2br w:val="nil"/>
              <w:tr2bl w:val="nil"/>
            </w:tcBorders>
            <w:vAlign w:val="center"/>
          </w:tcPr>
          <w:p>
            <w:pPr>
              <w:jc w:val="center"/>
              <w:rPr>
                <w:rFonts w:hint="eastAsia" w:ascii="宋体" w:cs="宋体" w:eastAsiaTheme="minorEastAsia"/>
                <w:sz w:val="20"/>
                <w:lang w:val="en-US" w:eastAsia="zh-CN"/>
              </w:rPr>
            </w:pPr>
            <w:r>
              <w:rPr>
                <w:rFonts w:hint="eastAsia" w:ascii="宋体" w:cs="宋体"/>
                <w:sz w:val="20"/>
                <w:lang w:val="en-US" w:eastAsia="zh-CN"/>
              </w:rPr>
              <w:t>单位申报</w:t>
            </w:r>
          </w:p>
        </w:tc>
        <w:tc>
          <w:tcPr>
            <w:tcW w:w="1848" w:type="dxa"/>
            <w:tcBorders>
              <w:tl2br w:val="nil"/>
              <w:tr2bl w:val="nil"/>
            </w:tcBorders>
            <w:vAlign w:val="center"/>
          </w:tcPr>
          <w:p>
            <w:pPr>
              <w:widowControl/>
              <w:jc w:val="center"/>
              <w:textAlignment w:val="center"/>
            </w:pPr>
            <w:r>
              <w:rPr>
                <w:rFonts w:hint="eastAsia" w:ascii="宋体" w:hAnsi="宋体" w:eastAsia="宋体" w:cs="宋体"/>
                <w:color w:val="000000"/>
                <w:kern w:val="0"/>
                <w:sz w:val="20"/>
                <w:szCs w:val="20"/>
              </w:rPr>
              <w:t>项目期</w:t>
            </w:r>
          </w:p>
        </w:tc>
        <w:tc>
          <w:tcPr>
            <w:tcW w:w="2380" w:type="dxa"/>
            <w:tcBorders>
              <w:tl2br w:val="nil"/>
              <w:tr2bl w:val="nil"/>
            </w:tcBorders>
            <w:vAlign w:val="center"/>
          </w:tcPr>
          <w:p>
            <w:pPr>
              <w:jc w:val="center"/>
              <w:rPr>
                <w:rFonts w:hint="default" w:eastAsiaTheme="minorEastAsia"/>
                <w:lang w:val="en-US" w:eastAsia="zh-CN"/>
              </w:rPr>
            </w:pPr>
            <w:r>
              <w:rPr>
                <w:rFonts w:hint="eastAsia"/>
                <w:lang w:val="en-US" w:eastAsia="zh-CN"/>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项目资金</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（万元）</w:t>
            </w: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年度资金总额：</w:t>
            </w:r>
          </w:p>
        </w:tc>
        <w:tc>
          <w:tcPr>
            <w:tcW w:w="4228" w:type="dxa"/>
            <w:gridSpan w:val="2"/>
            <w:tcBorders>
              <w:tl2br w:val="nil"/>
              <w:tr2bl w:val="nil"/>
            </w:tcBorders>
            <w:vAlign w:val="center"/>
          </w:tcPr>
          <w:p>
            <w:pPr>
              <w:jc w:val="right"/>
              <w:rPr>
                <w:rFonts w:hint="default" w:ascii="宋体" w:cs="宋体"/>
                <w:sz w:val="20"/>
                <w:lang w:val="en-US"/>
              </w:rPr>
            </w:pPr>
            <w:r>
              <w:rPr>
                <w:rFonts w:hint="eastAsia" w:ascii="宋体" w:cs="宋体"/>
                <w:sz w:val="20"/>
              </w:rPr>
              <w:t>175</w:t>
            </w:r>
            <w:r>
              <w:rPr>
                <w:rFonts w:hint="default" w:ascii="宋体" w:cs="宋体"/>
                <w:sz w:val="20"/>
                <w:lang w:val="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宋体" w:cs="宋体"/>
                <w:sz w:val="20"/>
              </w:rPr>
            </w:pP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其中：财政拨款</w:t>
            </w:r>
          </w:p>
        </w:tc>
        <w:tc>
          <w:tcPr>
            <w:tcW w:w="4228" w:type="dxa"/>
            <w:gridSpan w:val="2"/>
            <w:tcBorders>
              <w:tl2br w:val="nil"/>
              <w:tr2bl w:val="nil"/>
            </w:tcBorders>
            <w:vAlign w:val="center"/>
          </w:tcPr>
          <w:p>
            <w:pPr>
              <w:jc w:val="right"/>
              <w:rPr>
                <w:rFonts w:hint="default" w:ascii="宋体" w:cs="宋体" w:hAnsiTheme="minorHAnsi" w:eastAsiaTheme="minorEastAsia"/>
                <w:kern w:val="2"/>
                <w:sz w:val="20"/>
                <w:szCs w:val="22"/>
                <w:lang w:val="en-US" w:eastAsia="zh-CN" w:bidi="ar-SA"/>
              </w:rPr>
            </w:pPr>
            <w:r>
              <w:rPr>
                <w:rFonts w:hint="eastAsia" w:ascii="宋体" w:cs="宋体"/>
                <w:sz w:val="20"/>
              </w:rPr>
              <w:t>175</w:t>
            </w:r>
            <w:r>
              <w:rPr>
                <w:rFonts w:hint="default" w:ascii="宋体" w:cs="宋体"/>
                <w:sz w:val="20"/>
                <w:lang w:val="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宋体" w:cs="宋体"/>
                <w:sz w:val="20"/>
              </w:rPr>
            </w:pP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上年结转</w:t>
            </w:r>
          </w:p>
        </w:tc>
        <w:tc>
          <w:tcPr>
            <w:tcW w:w="4228" w:type="dxa"/>
            <w:gridSpan w:val="2"/>
            <w:tcBorders>
              <w:tl2br w:val="nil"/>
              <w:tr2bl w:val="nil"/>
            </w:tcBorders>
            <w:vAlign w:val="center"/>
          </w:tcPr>
          <w:p>
            <w:pPr>
              <w:jc w:val="center"/>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宋体" w:cs="宋体"/>
                <w:sz w:val="20"/>
              </w:rPr>
            </w:pP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其他资金</w:t>
            </w:r>
          </w:p>
        </w:tc>
        <w:tc>
          <w:tcPr>
            <w:tcW w:w="4228" w:type="dxa"/>
            <w:gridSpan w:val="2"/>
            <w:tcBorders>
              <w:tl2br w:val="nil"/>
              <w:tr2bl w:val="nil"/>
            </w:tcBorders>
            <w:vAlign w:val="center"/>
          </w:tcPr>
          <w:p>
            <w:pPr>
              <w:jc w:val="right"/>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438" w:type="dxa"/>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年度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目标</w:t>
            </w:r>
          </w:p>
        </w:tc>
        <w:tc>
          <w:tcPr>
            <w:tcW w:w="8582" w:type="dxa"/>
            <w:gridSpan w:val="6"/>
            <w:tcBorders>
              <w:tl2br w:val="nil"/>
              <w:tr2bl w:val="nil"/>
            </w:tcBorders>
            <w:vAlign w:val="center"/>
          </w:tcPr>
          <w:p>
            <w:pPr>
              <w:jc w:val="left"/>
              <w:rPr>
                <w:rFonts w:ascii="宋体" w:cs="宋体"/>
                <w:sz w:val="20"/>
              </w:rPr>
            </w:pPr>
            <w:r>
              <w:rPr>
                <w:rFonts w:hint="eastAsia" w:ascii="宋体" w:cs="宋体"/>
                <w:sz w:val="20"/>
              </w:rPr>
              <w:t>按合同履约支付。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438" w:type="dxa"/>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绩</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效</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标</w:t>
            </w:r>
          </w:p>
        </w:tc>
        <w:tc>
          <w:tcPr>
            <w:tcW w:w="723" w:type="dxa"/>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一级</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指标</w:t>
            </w: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二级指标</w:t>
            </w:r>
          </w:p>
        </w:tc>
        <w:tc>
          <w:tcPr>
            <w:tcW w:w="2872" w:type="dxa"/>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三级指标</w:t>
            </w:r>
          </w:p>
        </w:tc>
        <w:tc>
          <w:tcPr>
            <w:tcW w:w="4228" w:type="dxa"/>
            <w:gridSpan w:val="2"/>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产出指标</w:t>
            </w: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数量指标</w:t>
            </w:r>
          </w:p>
        </w:tc>
        <w:tc>
          <w:tcPr>
            <w:tcW w:w="2872" w:type="dxa"/>
            <w:tcBorders>
              <w:tl2br w:val="nil"/>
              <w:tr2bl w:val="nil"/>
            </w:tcBorders>
            <w:vAlign w:val="center"/>
          </w:tcPr>
          <w:p>
            <w:pPr>
              <w:widowControl/>
              <w:jc w:val="left"/>
              <w:textAlignment w:val="center"/>
              <w:rPr>
                <w:rFonts w:hint="eastAsia" w:asciiTheme="minorHAnsi" w:hAnsiTheme="minorHAnsi" w:eastAsiaTheme="minorEastAsia" w:cstheme="minorBidi"/>
                <w:kern w:val="2"/>
                <w:sz w:val="21"/>
                <w:szCs w:val="22"/>
                <w:lang w:val="en-US" w:eastAsia="zh-CN" w:bidi="ar-SA"/>
              </w:rPr>
            </w:pPr>
            <w:r>
              <w:rPr>
                <w:rFonts w:hint="eastAsia" w:ascii="宋体" w:hAnsi="宋体" w:eastAsia="宋体" w:cs="宋体"/>
                <w:color w:val="000000"/>
                <w:kern w:val="0"/>
                <w:sz w:val="20"/>
                <w:szCs w:val="20"/>
              </w:rPr>
              <w:t>指标：是否完成绩效目标申报表中申报的数量</w:t>
            </w:r>
          </w:p>
        </w:tc>
        <w:tc>
          <w:tcPr>
            <w:tcW w:w="4228" w:type="dxa"/>
            <w:gridSpan w:val="2"/>
            <w:tcBorders>
              <w:tl2br w:val="nil"/>
              <w:tr2bl w:val="nil"/>
            </w:tcBorders>
            <w:vAlign w:val="center"/>
          </w:tcPr>
          <w:p>
            <w:pPr>
              <w:jc w:val="center"/>
              <w:rPr>
                <w:rFonts w:hint="eastAsia" w:ascii="宋体" w:cs="宋体" w:eastAsiaTheme="minorEastAsia"/>
                <w:sz w:val="20"/>
                <w:lang w:val="en-US" w:eastAsia="zh-CN"/>
              </w:rPr>
            </w:pPr>
            <w:r>
              <w:rPr>
                <w:rFonts w:hint="eastAsia" w:ascii="宋体" w:cs="宋体"/>
                <w:sz w:val="20"/>
              </w:rPr>
              <w:t>7</w:t>
            </w:r>
            <w:r>
              <w:rPr>
                <w:rFonts w:hint="eastAsia" w:ascii="宋体" w:cs="宋体"/>
                <w:sz w:val="20"/>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质量指标</w:t>
            </w:r>
          </w:p>
        </w:tc>
        <w:tc>
          <w:tcPr>
            <w:tcW w:w="2872" w:type="dxa"/>
            <w:tcBorders>
              <w:tl2br w:val="nil"/>
              <w:tr2bl w:val="nil"/>
            </w:tcBorders>
            <w:vAlign w:val="center"/>
          </w:tcPr>
          <w:p>
            <w:pPr>
              <w:widowControl/>
              <w:jc w:val="left"/>
              <w:textAlignment w:val="center"/>
              <w:rPr>
                <w:rFonts w:hint="eastAsia" w:ascii="宋体" w:eastAsia="宋体" w:cs="宋体"/>
                <w:sz w:val="20"/>
                <w:lang w:eastAsia="zh-CN"/>
              </w:rPr>
            </w:pPr>
            <w:r>
              <w:rPr>
                <w:rFonts w:hint="eastAsia" w:ascii="宋体" w:hAnsi="宋体" w:eastAsia="宋体" w:cs="宋体"/>
                <w:color w:val="000000"/>
                <w:kern w:val="0"/>
                <w:sz w:val="20"/>
                <w:szCs w:val="20"/>
              </w:rPr>
              <w:t>指标</w:t>
            </w:r>
            <w:r>
              <w:rPr>
                <w:rFonts w:hint="eastAsia" w:ascii="宋体" w:hAnsi="宋体" w:eastAsia="宋体" w:cs="宋体"/>
                <w:color w:val="000000"/>
                <w:kern w:val="0"/>
                <w:sz w:val="20"/>
                <w:szCs w:val="20"/>
                <w:lang w:eastAsia="zh-CN"/>
              </w:rPr>
              <w:t>：是否达到相关规定的标准和要求</w:t>
            </w:r>
          </w:p>
        </w:tc>
        <w:tc>
          <w:tcPr>
            <w:tcW w:w="4228" w:type="dxa"/>
            <w:gridSpan w:val="2"/>
            <w:tcBorders>
              <w:tl2br w:val="nil"/>
              <w:tr2bl w:val="nil"/>
            </w:tcBorders>
            <w:vAlign w:val="center"/>
          </w:tcPr>
          <w:p>
            <w:pPr>
              <w:jc w:val="center"/>
              <w:rPr>
                <w:rFonts w:ascii="宋体" w:cs="宋体"/>
                <w:sz w:val="20"/>
              </w:rPr>
            </w:pPr>
            <w:r>
              <w:rPr>
                <w:rFonts w:hint="eastAsia" w:ascii="宋体" w:cs="宋体"/>
                <w:sz w:val="20"/>
              </w:rPr>
              <w:t>实现：长三角一体化接口对接、政务服务事项对接、全国数据共享平台对接及应用、电子档案对接、AI智能语音、贷款线上受理、综合服务平台设备升级等功能。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时效指标</w:t>
            </w:r>
          </w:p>
        </w:tc>
        <w:tc>
          <w:tcPr>
            <w:tcW w:w="2872" w:type="dxa"/>
            <w:tcBorders>
              <w:tl2br w:val="nil"/>
              <w:tr2bl w:val="nil"/>
            </w:tcBorders>
            <w:vAlign w:val="center"/>
          </w:tcPr>
          <w:p>
            <w:pPr>
              <w:widowControl/>
              <w:jc w:val="left"/>
              <w:textAlignment w:val="center"/>
              <w:rPr>
                <w:rFonts w:hint="eastAsia" w:ascii="宋体" w:eastAsia="宋体" w:cs="宋体"/>
                <w:sz w:val="20"/>
                <w:lang w:eastAsia="zh-CN"/>
              </w:rPr>
            </w:pPr>
            <w:r>
              <w:rPr>
                <w:rFonts w:hint="eastAsia" w:ascii="宋体" w:hAnsi="宋体" w:eastAsia="宋体" w:cs="宋体"/>
                <w:color w:val="000000"/>
                <w:kern w:val="0"/>
                <w:sz w:val="20"/>
                <w:szCs w:val="20"/>
              </w:rPr>
              <w:t>指标</w:t>
            </w:r>
            <w:r>
              <w:rPr>
                <w:rFonts w:hint="eastAsia" w:ascii="宋体" w:hAnsi="宋体" w:eastAsia="宋体" w:cs="宋体"/>
                <w:color w:val="000000"/>
                <w:kern w:val="0"/>
                <w:sz w:val="20"/>
                <w:szCs w:val="20"/>
                <w:lang w:eastAsia="zh-CN"/>
              </w:rPr>
              <w:t>：是否按时保质保量</w:t>
            </w:r>
          </w:p>
        </w:tc>
        <w:tc>
          <w:tcPr>
            <w:tcW w:w="4228" w:type="dxa"/>
            <w:gridSpan w:val="2"/>
            <w:tcBorders>
              <w:tl2br w:val="nil"/>
              <w:tr2bl w:val="nil"/>
            </w:tcBorders>
            <w:vAlign w:val="center"/>
          </w:tcPr>
          <w:p>
            <w:pPr>
              <w:jc w:val="center"/>
              <w:rPr>
                <w:rFonts w:hint="eastAsia" w:ascii="宋体" w:cs="宋体" w:eastAsiaTheme="minorEastAsia"/>
                <w:sz w:val="20"/>
                <w:lang w:val="en-US" w:eastAsia="zh-CN"/>
              </w:rPr>
            </w:pPr>
            <w:r>
              <w:rPr>
                <w:rFonts w:hint="default" w:ascii="宋体" w:cs="宋体"/>
                <w:sz w:val="20"/>
                <w:lang w:val="en-US"/>
              </w:rPr>
              <w:t>=12</w:t>
            </w:r>
            <w:r>
              <w:rPr>
                <w:rFonts w:hint="eastAsia" w:ascii="宋体" w:cs="宋体"/>
                <w:sz w:val="20"/>
                <w:lang w:val="en-US" w:eastAsia="zh-CN"/>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成本指标</w:t>
            </w:r>
          </w:p>
        </w:tc>
        <w:tc>
          <w:tcPr>
            <w:tcW w:w="2872" w:type="dxa"/>
            <w:tcBorders>
              <w:tl2br w:val="nil"/>
              <w:tr2bl w:val="nil"/>
            </w:tcBorders>
            <w:vAlign w:val="center"/>
          </w:tcPr>
          <w:p>
            <w:pPr>
              <w:widowControl/>
              <w:jc w:val="left"/>
              <w:textAlignment w:val="center"/>
              <w:rPr>
                <w:rFonts w:hint="eastAsia" w:ascii="宋体" w:eastAsia="宋体" w:cs="宋体"/>
                <w:sz w:val="20"/>
                <w:lang w:eastAsia="zh-CN"/>
              </w:rPr>
            </w:pPr>
            <w:r>
              <w:rPr>
                <w:rFonts w:hint="eastAsia" w:ascii="宋体" w:hAnsi="宋体" w:eastAsia="宋体" w:cs="宋体"/>
                <w:color w:val="000000"/>
                <w:kern w:val="0"/>
                <w:sz w:val="20"/>
                <w:szCs w:val="20"/>
              </w:rPr>
              <w:t>指标</w:t>
            </w:r>
            <w:r>
              <w:rPr>
                <w:rFonts w:hint="eastAsia" w:ascii="宋体" w:hAnsi="宋体" w:eastAsia="宋体" w:cs="宋体"/>
                <w:color w:val="000000"/>
                <w:kern w:val="0"/>
                <w:sz w:val="20"/>
                <w:szCs w:val="20"/>
                <w:lang w:eastAsia="zh-CN"/>
              </w:rPr>
              <w:t>：是否在预设成本总量控制范围内</w:t>
            </w:r>
          </w:p>
        </w:tc>
        <w:tc>
          <w:tcPr>
            <w:tcW w:w="4228" w:type="dxa"/>
            <w:gridSpan w:val="2"/>
            <w:tcBorders>
              <w:tl2br w:val="nil"/>
              <w:tr2bl w:val="nil"/>
            </w:tcBorders>
            <w:vAlign w:val="center"/>
          </w:tcPr>
          <w:p>
            <w:pPr>
              <w:jc w:val="center"/>
              <w:rPr>
                <w:rFonts w:ascii="宋体" w:cs="宋体"/>
                <w:sz w:val="20"/>
              </w:rPr>
            </w:pPr>
            <w:r>
              <w:rPr>
                <w:rFonts w:hint="eastAsia" w:ascii="宋体" w:cs="宋体"/>
                <w:sz w:val="20"/>
              </w:rPr>
              <w:t>严格按照项目预算执行，不得超支。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效益指标</w:t>
            </w: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经济效益指标</w:t>
            </w:r>
          </w:p>
        </w:tc>
        <w:tc>
          <w:tcPr>
            <w:tcW w:w="2872" w:type="dxa"/>
            <w:tcBorders>
              <w:tl2br w:val="nil"/>
              <w:tr2bl w:val="nil"/>
            </w:tcBorders>
            <w:vAlign w:val="center"/>
          </w:tcPr>
          <w:p>
            <w:pPr>
              <w:widowControl/>
              <w:jc w:val="left"/>
              <w:textAlignment w:val="center"/>
              <w:rPr>
                <w:rFonts w:hint="eastAsia" w:ascii="宋体" w:eastAsia="宋体" w:cs="宋体"/>
                <w:sz w:val="20"/>
                <w:lang w:eastAsia="zh-CN"/>
              </w:rPr>
            </w:pPr>
            <w:r>
              <w:rPr>
                <w:rFonts w:hint="eastAsia" w:ascii="宋体" w:hAnsi="宋体" w:eastAsia="宋体" w:cs="宋体"/>
                <w:color w:val="000000"/>
                <w:kern w:val="0"/>
                <w:sz w:val="20"/>
                <w:szCs w:val="20"/>
              </w:rPr>
              <w:t>指标</w:t>
            </w:r>
            <w:r>
              <w:rPr>
                <w:rFonts w:hint="eastAsia" w:ascii="宋体" w:hAnsi="宋体" w:eastAsia="宋体" w:cs="宋体"/>
                <w:color w:val="000000"/>
                <w:kern w:val="0"/>
                <w:sz w:val="20"/>
                <w:szCs w:val="20"/>
                <w:lang w:eastAsia="zh-CN"/>
              </w:rPr>
              <w:t>：是否节省缴存职工办理成本</w:t>
            </w:r>
          </w:p>
        </w:tc>
        <w:tc>
          <w:tcPr>
            <w:tcW w:w="4228" w:type="dxa"/>
            <w:gridSpan w:val="2"/>
            <w:tcBorders>
              <w:tl2br w:val="nil"/>
              <w:tr2bl w:val="nil"/>
            </w:tcBorders>
            <w:vAlign w:val="center"/>
          </w:tcPr>
          <w:p>
            <w:pPr>
              <w:jc w:val="center"/>
              <w:rPr>
                <w:rFonts w:ascii="宋体" w:cs="宋体"/>
                <w:sz w:val="20"/>
              </w:rPr>
            </w:pPr>
            <w:r>
              <w:rPr>
                <w:rFonts w:hint="eastAsia" w:ascii="宋体" w:cs="宋体"/>
                <w:sz w:val="20"/>
              </w:rPr>
              <w:t>无需到达现场，实现远程办理，节约路程成本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社会效益指标</w:t>
            </w:r>
          </w:p>
        </w:tc>
        <w:tc>
          <w:tcPr>
            <w:tcW w:w="2872" w:type="dxa"/>
            <w:tcBorders>
              <w:tl2br w:val="nil"/>
              <w:tr2bl w:val="nil"/>
            </w:tcBorders>
            <w:vAlign w:val="center"/>
          </w:tcPr>
          <w:p>
            <w:pPr>
              <w:widowControl/>
              <w:jc w:val="left"/>
              <w:textAlignment w:val="center"/>
              <w:rPr>
                <w:rFonts w:hint="eastAsia" w:ascii="宋体" w:eastAsia="宋体" w:cs="宋体"/>
                <w:sz w:val="20"/>
                <w:lang w:eastAsia="zh-CN"/>
              </w:rPr>
            </w:pPr>
            <w:r>
              <w:rPr>
                <w:rFonts w:hint="eastAsia" w:ascii="宋体" w:hAnsi="宋体" w:eastAsia="宋体" w:cs="宋体"/>
                <w:color w:val="000000"/>
                <w:kern w:val="0"/>
                <w:sz w:val="20"/>
                <w:szCs w:val="20"/>
              </w:rPr>
              <w:t>指标</w:t>
            </w:r>
            <w:r>
              <w:rPr>
                <w:rFonts w:hint="eastAsia" w:ascii="宋体" w:hAnsi="宋体" w:eastAsia="宋体" w:cs="宋体"/>
                <w:color w:val="000000"/>
                <w:kern w:val="0"/>
                <w:sz w:val="20"/>
                <w:szCs w:val="20"/>
                <w:lang w:eastAsia="zh-CN"/>
              </w:rPr>
              <w:t>：是否方便缴存职工在线办理</w:t>
            </w:r>
          </w:p>
        </w:tc>
        <w:tc>
          <w:tcPr>
            <w:tcW w:w="4228" w:type="dxa"/>
            <w:gridSpan w:val="2"/>
            <w:tcBorders>
              <w:tl2br w:val="nil"/>
              <w:tr2bl w:val="nil"/>
            </w:tcBorders>
            <w:vAlign w:val="center"/>
          </w:tcPr>
          <w:p>
            <w:pPr>
              <w:jc w:val="center"/>
              <w:rPr>
                <w:rFonts w:ascii="宋体" w:cs="宋体"/>
                <w:sz w:val="20"/>
              </w:rPr>
            </w:pPr>
            <w:r>
              <w:rPr>
                <w:rFonts w:hint="eastAsia" w:ascii="宋体" w:cs="宋体"/>
                <w:sz w:val="20"/>
              </w:rPr>
              <w:t>通过综合服务平台各渠道，办理住房公积金各类业务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生态效益指标</w:t>
            </w:r>
          </w:p>
        </w:tc>
        <w:tc>
          <w:tcPr>
            <w:tcW w:w="2872" w:type="dxa"/>
            <w:tcBorders>
              <w:tl2br w:val="nil"/>
              <w:tr2bl w:val="nil"/>
            </w:tcBorders>
            <w:vAlign w:val="center"/>
          </w:tcPr>
          <w:p>
            <w:pPr>
              <w:widowControl/>
              <w:jc w:val="left"/>
              <w:textAlignment w:val="center"/>
              <w:rPr>
                <w:rFonts w:hint="eastAsia" w:ascii="宋体" w:eastAsia="宋体" w:cs="宋体"/>
                <w:sz w:val="20"/>
                <w:lang w:eastAsia="zh-CN"/>
              </w:rPr>
            </w:pPr>
            <w:r>
              <w:rPr>
                <w:rFonts w:hint="eastAsia" w:ascii="宋体" w:hAnsi="宋体" w:eastAsia="宋体" w:cs="宋体"/>
                <w:color w:val="000000"/>
                <w:kern w:val="0"/>
                <w:sz w:val="20"/>
                <w:szCs w:val="20"/>
              </w:rPr>
              <w:t>指标</w:t>
            </w:r>
            <w:r>
              <w:rPr>
                <w:rFonts w:hint="eastAsia" w:ascii="宋体" w:hAnsi="宋体" w:eastAsia="宋体" w:cs="宋体"/>
                <w:color w:val="000000"/>
                <w:kern w:val="0"/>
                <w:sz w:val="20"/>
                <w:szCs w:val="20"/>
                <w:lang w:eastAsia="zh-CN"/>
              </w:rPr>
              <w:t>：是否增加纸质材料</w:t>
            </w:r>
          </w:p>
        </w:tc>
        <w:tc>
          <w:tcPr>
            <w:tcW w:w="4228" w:type="dxa"/>
            <w:gridSpan w:val="2"/>
            <w:tcBorders>
              <w:tl2br w:val="nil"/>
              <w:tr2bl w:val="nil"/>
            </w:tcBorders>
            <w:vAlign w:val="center"/>
          </w:tcPr>
          <w:p>
            <w:pPr>
              <w:jc w:val="center"/>
              <w:rPr>
                <w:rFonts w:ascii="宋体" w:cs="宋体"/>
                <w:sz w:val="20"/>
              </w:rPr>
            </w:pPr>
            <w:r>
              <w:rPr>
                <w:rFonts w:hint="eastAsia" w:ascii="宋体" w:cs="宋体"/>
                <w:sz w:val="20"/>
              </w:rPr>
              <w:t>无需提供材料复印件，拍照上传即可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rPr>
                <w:rFonts w:ascii="宋体" w:hAnsi="宋体" w:eastAsia="宋体" w:cs="宋体"/>
                <w:sz w:val="20"/>
              </w:rPr>
            </w:pPr>
            <w:r>
              <w:rPr>
                <w:rFonts w:hint="eastAsia" w:ascii="宋体" w:hAnsi="宋体" w:eastAsia="宋体" w:cs="宋体"/>
                <w:sz w:val="20"/>
              </w:rPr>
              <w:t>可持续影响指标</w:t>
            </w:r>
          </w:p>
        </w:tc>
        <w:tc>
          <w:tcPr>
            <w:tcW w:w="2872" w:type="dxa"/>
            <w:tcBorders>
              <w:tl2br w:val="nil"/>
              <w:tr2bl w:val="nil"/>
            </w:tcBorders>
            <w:vAlign w:val="center"/>
          </w:tcPr>
          <w:p>
            <w:pPr>
              <w:widowControl/>
              <w:jc w:val="left"/>
              <w:textAlignment w:val="center"/>
              <w:rPr>
                <w:rFonts w:hint="eastAsia" w:ascii="宋体" w:hAnsi="宋体" w:eastAsia="宋体" w:cs="宋体"/>
                <w:sz w:val="20"/>
                <w:lang w:eastAsia="zh-CN"/>
              </w:rPr>
            </w:pPr>
            <w:r>
              <w:rPr>
                <w:rFonts w:hint="eastAsia" w:ascii="宋体" w:hAnsi="宋体" w:eastAsia="宋体" w:cs="宋体"/>
                <w:color w:val="000000"/>
                <w:kern w:val="0"/>
                <w:sz w:val="20"/>
                <w:szCs w:val="20"/>
              </w:rPr>
              <w:t>指标</w:t>
            </w:r>
            <w:r>
              <w:rPr>
                <w:rFonts w:hint="eastAsia" w:ascii="宋体" w:hAnsi="宋体" w:eastAsia="宋体" w:cs="宋体"/>
                <w:color w:val="000000"/>
                <w:kern w:val="0"/>
                <w:sz w:val="20"/>
                <w:szCs w:val="20"/>
                <w:lang w:eastAsia="zh-CN"/>
              </w:rPr>
              <w:t>：是否长期有效</w:t>
            </w:r>
          </w:p>
        </w:tc>
        <w:tc>
          <w:tcPr>
            <w:tcW w:w="4228" w:type="dxa"/>
            <w:gridSpan w:val="2"/>
            <w:tcBorders>
              <w:tl2br w:val="nil"/>
              <w:tr2bl w:val="nil"/>
            </w:tcBorders>
            <w:vAlign w:val="center"/>
          </w:tcPr>
          <w:p>
            <w:pPr>
              <w:jc w:val="center"/>
              <w:rPr>
                <w:rFonts w:ascii="宋体" w:cs="宋体"/>
                <w:sz w:val="20"/>
              </w:rPr>
            </w:pPr>
            <w:r>
              <w:rPr>
                <w:rFonts w:hint="eastAsia" w:ascii="宋体" w:cs="宋体"/>
                <w:sz w:val="20"/>
              </w:rPr>
              <w:t>开发完毕后，可一直使用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tcBorders>
              <w:tl2br w:val="nil"/>
              <w:tr2bl w:val="nil"/>
            </w:tcBorders>
            <w:vAlign w:val="center"/>
          </w:tcPr>
          <w:p>
            <w:pPr>
              <w:widowControl/>
              <w:spacing w:line="200" w:lineRule="exact"/>
              <w:jc w:val="center"/>
              <w:rPr>
                <w:rFonts w:ascii="宋体" w:hAnsi="宋体" w:eastAsia="宋体" w:cs="宋体"/>
                <w:sz w:val="20"/>
              </w:rPr>
            </w:pPr>
            <w:r>
              <w:rPr>
                <w:rFonts w:hint="eastAsia" w:ascii="宋体" w:hAnsi="宋体" w:eastAsia="宋体" w:cs="宋体"/>
                <w:sz w:val="20"/>
              </w:rPr>
              <w:t>满意度指标</w:t>
            </w:r>
          </w:p>
        </w:tc>
        <w:tc>
          <w:tcPr>
            <w:tcW w:w="759" w:type="dxa"/>
            <w:gridSpan w:val="2"/>
            <w:tcBorders>
              <w:tl2br w:val="nil"/>
              <w:tr2bl w:val="nil"/>
            </w:tcBorders>
            <w:vAlign w:val="center"/>
          </w:tcPr>
          <w:p>
            <w:pPr>
              <w:widowControl/>
              <w:spacing w:line="200" w:lineRule="exact"/>
              <w:jc w:val="center"/>
              <w:rPr>
                <w:rFonts w:ascii="宋体" w:hAnsi="宋体" w:eastAsia="宋体" w:cs="宋体"/>
                <w:sz w:val="20"/>
              </w:rPr>
            </w:pPr>
            <w:r>
              <w:rPr>
                <w:rFonts w:hint="eastAsia" w:ascii="宋体" w:hAnsi="宋体" w:eastAsia="宋体" w:cs="宋体"/>
                <w:sz w:val="20"/>
              </w:rPr>
              <w:t>满意度指标</w:t>
            </w:r>
          </w:p>
        </w:tc>
        <w:tc>
          <w:tcPr>
            <w:tcW w:w="2872" w:type="dxa"/>
            <w:tcBorders>
              <w:tl2br w:val="nil"/>
              <w:tr2bl w:val="nil"/>
            </w:tcBorders>
            <w:vAlign w:val="center"/>
          </w:tcPr>
          <w:p>
            <w:pPr>
              <w:widowControl/>
              <w:jc w:val="left"/>
              <w:textAlignment w:val="center"/>
              <w:rPr>
                <w:rFonts w:hint="eastAsia" w:ascii="宋体" w:hAnsi="宋体" w:eastAsia="宋体" w:cs="宋体"/>
                <w:sz w:val="20"/>
                <w:lang w:eastAsia="zh-CN"/>
              </w:rPr>
            </w:pPr>
            <w:r>
              <w:rPr>
                <w:rFonts w:hint="eastAsia" w:ascii="宋体" w:hAnsi="宋体" w:eastAsia="宋体" w:cs="宋体"/>
                <w:color w:val="000000"/>
                <w:kern w:val="0"/>
                <w:sz w:val="20"/>
                <w:szCs w:val="20"/>
              </w:rPr>
              <w:t>指标</w:t>
            </w:r>
            <w:r>
              <w:rPr>
                <w:rFonts w:hint="eastAsia" w:ascii="宋体" w:hAnsi="宋体" w:eastAsia="宋体" w:cs="宋体"/>
                <w:color w:val="000000"/>
                <w:kern w:val="0"/>
                <w:sz w:val="20"/>
                <w:szCs w:val="20"/>
                <w:lang w:eastAsia="zh-CN"/>
              </w:rPr>
              <w:t>：缴存职工是否满意</w:t>
            </w:r>
          </w:p>
        </w:tc>
        <w:tc>
          <w:tcPr>
            <w:tcW w:w="4228" w:type="dxa"/>
            <w:gridSpan w:val="2"/>
            <w:tcBorders>
              <w:tl2br w:val="nil"/>
              <w:tr2bl w:val="nil"/>
            </w:tcBorders>
            <w:vAlign w:val="center"/>
          </w:tcPr>
          <w:p>
            <w:pPr>
              <w:jc w:val="center"/>
              <w:rPr>
                <w:rFonts w:hint="default" w:ascii="宋体" w:cs="宋体" w:eastAsiaTheme="minorEastAsia"/>
                <w:sz w:val="20"/>
                <w:lang w:val="en-US" w:eastAsia="zh-CN"/>
              </w:rPr>
            </w:pPr>
            <w:r>
              <w:rPr>
                <w:rFonts w:hint="eastAsia" w:ascii="宋体" w:cs="宋体"/>
                <w:sz w:val="20"/>
                <w:lang w:val="en-US" w:eastAsia="zh-CN"/>
              </w:rPr>
              <w:t>≥</w:t>
            </w:r>
            <w:r>
              <w:rPr>
                <w:rFonts w:hint="default" w:ascii="宋体" w:cs="宋体"/>
                <w:sz w:val="20"/>
                <w:lang w:val="en-US" w:eastAsia="zh-CN"/>
              </w:rPr>
              <w:t>90%</w:t>
            </w:r>
          </w:p>
        </w:tc>
      </w:tr>
    </w:tbl>
    <w:p>
      <w:pPr>
        <w:ind w:firstLine="420" w:firstLineChars="200"/>
      </w:pPr>
    </w:p>
    <w:p>
      <w:pPr>
        <w:ind w:firstLine="640" w:firstLineChars="200"/>
        <w:rPr>
          <w:rFonts w:ascii="TimesNewRoman" w:hAnsi="TimesNewRoman" w:eastAsia="仿宋_GB2312" w:cs="TimesNewRoman"/>
          <w:kern w:val="0"/>
          <w:sz w:val="32"/>
          <w:szCs w:val="32"/>
        </w:rPr>
      </w:pPr>
      <w:r>
        <w:rPr>
          <w:rFonts w:hint="default" w:ascii="TimesNewRoman" w:hAnsi="TimesNewRoman" w:eastAsia="仿宋_GB2312" w:cs="TimesNewRoman"/>
          <w:kern w:val="0"/>
          <w:sz w:val="32"/>
          <w:szCs w:val="32"/>
          <w:lang w:val="en-US"/>
        </w:rPr>
        <w:t>5</w:t>
      </w:r>
      <w:r>
        <w:rPr>
          <w:rFonts w:hint="eastAsia" w:ascii="TimesNewRoman" w:hAnsi="TimesNewRoman" w:eastAsia="仿宋_GB2312" w:cs="TimesNewRoman"/>
          <w:kern w:val="0"/>
          <w:sz w:val="32"/>
          <w:szCs w:val="32"/>
        </w:rPr>
        <w:t>、“</w:t>
      </w:r>
      <w:r>
        <w:rPr>
          <w:rFonts w:hint="eastAsia" w:ascii="TimesNewRoman" w:hAnsi="TimesNewRoman" w:eastAsia="仿宋_GB2312" w:cs="TimesNewRoman"/>
          <w:kern w:val="0"/>
          <w:sz w:val="32"/>
          <w:szCs w:val="32"/>
          <w:lang w:val="en-US" w:eastAsia="zh-CN"/>
        </w:rPr>
        <w:t>硬件及软件维护</w:t>
      </w:r>
      <w:r>
        <w:rPr>
          <w:rFonts w:hint="eastAsia" w:ascii="TimesNewRoman" w:hAnsi="TimesNewRoman" w:eastAsia="仿宋_GB2312" w:cs="TimesNewRoman"/>
          <w:kern w:val="0"/>
          <w:sz w:val="32"/>
          <w:szCs w:val="32"/>
        </w:rPr>
        <w:t>”项目。</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1）项目概述。为更好地保障中心系统运行，需要对中心信息系统进行维护，包括：综合服务平台运维、互联网+政务服务运维、12329设备及客服人员工资、机房硬件维护、安全软件维护、设备日常维护、等保测评等。</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（2）立项依据。硬件及软件维护是淮北公积金长期投入项目，是保证公积金服务运转和网络安全运维的基本条件。</w:t>
      </w:r>
    </w:p>
    <w:p>
      <w:pPr>
        <w:ind w:firstLine="640" w:firstLineChars="200"/>
        <w:rPr>
          <w:rFonts w:hint="eastAsia" w:ascii="TimesNewRoman" w:hAnsi="TimesNewRoman" w:eastAsia="仿宋_GB2312" w:cs="TimesNewRoman"/>
          <w:kern w:val="0"/>
          <w:sz w:val="32"/>
          <w:szCs w:val="32"/>
          <w:lang w:eastAsia="zh-CN"/>
        </w:rPr>
      </w:pPr>
      <w:r>
        <w:rPr>
          <w:rFonts w:hint="eastAsia" w:ascii="TimesNewRoman" w:hAnsi="TimesNewRoman" w:eastAsia="仿宋_GB2312" w:cs="TimesNewRoman"/>
          <w:kern w:val="0"/>
          <w:sz w:val="32"/>
          <w:szCs w:val="32"/>
        </w:rPr>
        <w:t>（3）实施主体</w:t>
      </w:r>
      <w:r>
        <w:rPr>
          <w:rFonts w:hint="eastAsia" w:ascii="TimesNewRoman" w:hAnsi="TimesNewRoman" w:eastAsia="仿宋_GB2312" w:cs="TimesNewRoman"/>
          <w:kern w:val="0"/>
          <w:sz w:val="32"/>
          <w:szCs w:val="32"/>
          <w:lang w:eastAsia="zh-CN"/>
        </w:rPr>
        <w:t>：</w:t>
      </w:r>
      <w:r>
        <w:rPr>
          <w:rFonts w:hint="eastAsia" w:ascii="TimesNewRoman" w:hAnsi="TimesNewRoman" w:eastAsia="仿宋_GB2312" w:cs="TimesNewRoman"/>
          <w:kern w:val="0"/>
          <w:sz w:val="32"/>
          <w:szCs w:val="32"/>
          <w:lang w:val="en-US" w:eastAsia="zh-CN"/>
        </w:rPr>
        <w:t>淮北市住房公积金管理中心</w:t>
      </w:r>
    </w:p>
    <w:p>
      <w:pPr>
        <w:ind w:firstLine="640" w:firstLineChars="200"/>
        <w:rPr>
          <w:rFonts w:hint="default" w:ascii="TimesNewRoman" w:hAnsi="TimesNewRoman" w:eastAsia="仿宋_GB2312" w:cs="TimesNewRoman"/>
          <w:kern w:val="0"/>
          <w:sz w:val="32"/>
          <w:szCs w:val="32"/>
          <w:lang w:val="en-US" w:eastAsia="zh-CN"/>
        </w:rPr>
      </w:pPr>
      <w:r>
        <w:rPr>
          <w:rFonts w:hint="eastAsia" w:ascii="TimesNewRoman" w:hAnsi="TimesNewRoman" w:eastAsia="仿宋_GB2312" w:cs="TimesNewRoman"/>
          <w:kern w:val="0"/>
          <w:sz w:val="32"/>
          <w:szCs w:val="32"/>
        </w:rPr>
        <w:t>（4）起止时间</w:t>
      </w:r>
      <w:r>
        <w:rPr>
          <w:rFonts w:hint="eastAsia" w:ascii="TimesNewRoman" w:hAnsi="TimesNewRoman" w:eastAsia="仿宋_GB2312" w:cs="TimesNewRoman"/>
          <w:kern w:val="0"/>
          <w:sz w:val="32"/>
          <w:szCs w:val="32"/>
          <w:lang w:eastAsia="zh-CN"/>
        </w:rPr>
        <w:t>：</w:t>
      </w:r>
      <w:r>
        <w:rPr>
          <w:rFonts w:hint="default" w:ascii="TimesNewRoman" w:hAnsi="TimesNewRoman" w:eastAsia="仿宋_GB2312" w:cs="TimesNewRoman"/>
          <w:kern w:val="0"/>
          <w:sz w:val="32"/>
          <w:szCs w:val="32"/>
          <w:lang w:val="en-US"/>
        </w:rPr>
        <w:t>2024</w:t>
      </w:r>
      <w:r>
        <w:rPr>
          <w:rFonts w:hint="eastAsia" w:ascii="TimesNewRoman" w:hAnsi="TimesNewRoman" w:eastAsia="仿宋_GB2312" w:cs="TimesNewRoman"/>
          <w:kern w:val="0"/>
          <w:sz w:val="32"/>
          <w:szCs w:val="32"/>
          <w:lang w:val="en-US" w:eastAsia="zh-CN"/>
        </w:rPr>
        <w:t>年</w:t>
      </w:r>
      <w:r>
        <w:rPr>
          <w:rFonts w:hint="default" w:ascii="TimesNewRoman" w:hAnsi="TimesNewRoman" w:eastAsia="仿宋_GB2312" w:cs="TimesNewRoman"/>
          <w:kern w:val="0"/>
          <w:sz w:val="32"/>
          <w:szCs w:val="32"/>
          <w:lang w:val="en-US" w:eastAsia="zh-CN"/>
        </w:rPr>
        <w:t>1~12</w:t>
      </w:r>
      <w:r>
        <w:rPr>
          <w:rFonts w:hint="eastAsia" w:ascii="TimesNewRoman" w:hAnsi="TimesNewRoman" w:eastAsia="仿宋_GB2312" w:cs="TimesNewRoman"/>
          <w:kern w:val="0"/>
          <w:sz w:val="32"/>
          <w:szCs w:val="32"/>
          <w:lang w:val="en-US" w:eastAsia="zh-CN"/>
        </w:rPr>
        <w:t>月</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（5）项目内容。包括：综合服务平台运维、互联网+政务服务运维、12329设备及客服人员工资、机房硬件维护、安全软件维护、设备日常维护、等保测评等。</w:t>
      </w:r>
    </w:p>
    <w:p>
      <w:pPr>
        <w:ind w:firstLine="640" w:firstLineChars="200"/>
        <w:rPr>
          <w:rFonts w:hint="eastAsia" w:ascii="TimesNewRoman" w:hAnsi="TimesNewRoman" w:eastAsia="仿宋_GB2312" w:cs="TimesNewRoman"/>
          <w:kern w:val="0"/>
          <w:sz w:val="32"/>
          <w:szCs w:val="32"/>
          <w:lang w:val="en-US" w:eastAsia="zh-CN"/>
        </w:rPr>
      </w:pPr>
      <w:r>
        <w:rPr>
          <w:rFonts w:hint="eastAsia" w:ascii="TimesNewRoman" w:hAnsi="TimesNewRoman" w:eastAsia="仿宋_GB2312" w:cs="TimesNewRoman"/>
          <w:kern w:val="0"/>
          <w:sz w:val="32"/>
          <w:szCs w:val="32"/>
        </w:rPr>
        <w:t>（6）年度预算安排</w:t>
      </w:r>
      <w:r>
        <w:rPr>
          <w:rFonts w:hint="default" w:ascii="TimesNewRoman" w:hAnsi="TimesNewRoman" w:eastAsia="仿宋_GB2312" w:cs="TimesNewRoman"/>
          <w:kern w:val="0"/>
          <w:sz w:val="32"/>
          <w:szCs w:val="32"/>
          <w:lang w:val="en-US"/>
        </w:rPr>
        <w:t>188.85</w:t>
      </w:r>
      <w:r>
        <w:rPr>
          <w:rFonts w:hint="eastAsia" w:ascii="TimesNewRoman" w:hAnsi="TimesNewRoman" w:eastAsia="仿宋_GB2312" w:cs="TimesNewRoman"/>
          <w:kern w:val="0"/>
          <w:sz w:val="32"/>
          <w:szCs w:val="32"/>
          <w:lang w:val="en-US" w:eastAsia="zh-CN"/>
        </w:rPr>
        <w:t>万元。</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（7）绩效目标。</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723"/>
        <w:gridCol w:w="282"/>
        <w:gridCol w:w="477"/>
        <w:gridCol w:w="2872"/>
        <w:gridCol w:w="1848"/>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9020" w:type="dxa"/>
            <w:gridSpan w:val="7"/>
            <w:tcBorders>
              <w:top w:val="nil"/>
              <w:left w:val="nil"/>
              <w:bottom w:val="nil"/>
              <w:right w:val="nil"/>
            </w:tcBorders>
            <w:vAlign w:val="center"/>
          </w:tcPr>
          <w:p>
            <w:pPr>
              <w:widowControl/>
              <w:jc w:val="center"/>
              <w:textAlignment w:val="center"/>
              <w:rPr>
                <w:rFonts w:ascii="宋体" w:cs="宋体"/>
                <w:b/>
                <w:bCs/>
                <w:szCs w:val="32"/>
              </w:rPr>
            </w:pPr>
            <w:r>
              <w:rPr>
                <w:rFonts w:hint="eastAsia" w:ascii="宋体" w:hAnsi="宋体" w:eastAsia="宋体" w:cs="宋体"/>
                <w:b/>
                <w:color w:val="000000"/>
                <w:kern w:val="0"/>
                <w:sz w:val="28"/>
                <w:szCs w:val="28"/>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020" w:type="dxa"/>
            <w:gridSpan w:val="7"/>
            <w:tcBorders>
              <w:top w:val="nil"/>
              <w:left w:val="nil"/>
              <w:right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 xml:space="preserve"> （2024年度）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项目名称</w:t>
            </w:r>
          </w:p>
        </w:tc>
        <w:tc>
          <w:tcPr>
            <w:tcW w:w="7577" w:type="dxa"/>
            <w:gridSpan w:val="4"/>
            <w:tcBorders>
              <w:tl2br w:val="nil"/>
              <w:tr2bl w:val="nil"/>
            </w:tcBorders>
            <w:vAlign w:val="center"/>
          </w:tcPr>
          <w:p>
            <w:pPr>
              <w:jc w:val="center"/>
              <w:rPr>
                <w:rFonts w:ascii="宋体" w:cs="宋体"/>
                <w:sz w:val="20"/>
              </w:rPr>
            </w:pPr>
            <w:r>
              <w:rPr>
                <w:rFonts w:hint="eastAsia" w:ascii="宋体" w:cs="宋体"/>
                <w:sz w:val="20"/>
              </w:rPr>
              <w:t>硬件及软件维护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443" w:type="dxa"/>
            <w:gridSpan w:val="3"/>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主管部门   及代码</w:t>
            </w:r>
          </w:p>
        </w:tc>
        <w:tc>
          <w:tcPr>
            <w:tcW w:w="3349" w:type="dxa"/>
            <w:gridSpan w:val="2"/>
            <w:tcBorders>
              <w:tl2br w:val="nil"/>
              <w:tr2bl w:val="nil"/>
            </w:tcBorders>
            <w:vAlign w:val="center"/>
          </w:tcPr>
          <w:p>
            <w:pPr>
              <w:jc w:val="center"/>
              <w:rPr>
                <w:rFonts w:hint="default" w:ascii="宋体" w:cs="宋体" w:eastAsiaTheme="minorEastAsia"/>
                <w:sz w:val="20"/>
                <w:lang w:val="en-US" w:eastAsia="zh-CN"/>
              </w:rPr>
            </w:pPr>
            <w:r>
              <w:rPr>
                <w:rFonts w:hint="eastAsia" w:ascii="宋体" w:cs="宋体"/>
                <w:sz w:val="20"/>
                <w:lang w:val="en-US" w:eastAsia="zh-CN"/>
              </w:rPr>
              <w:t>淮北市住房公积金管理中心</w:t>
            </w:r>
          </w:p>
        </w:tc>
        <w:tc>
          <w:tcPr>
            <w:tcW w:w="1848" w:type="dxa"/>
            <w:tcBorders>
              <w:tl2br w:val="nil"/>
              <w:tr2bl w:val="nil"/>
            </w:tcBorders>
            <w:vAlign w:val="center"/>
          </w:tcPr>
          <w:p>
            <w:pPr>
              <w:widowControl/>
              <w:jc w:val="center"/>
              <w:textAlignment w:val="center"/>
            </w:pPr>
            <w:r>
              <w:rPr>
                <w:rFonts w:hint="eastAsia" w:ascii="宋体" w:hAnsi="宋体" w:eastAsia="宋体" w:cs="宋体"/>
                <w:color w:val="000000"/>
                <w:kern w:val="0"/>
                <w:sz w:val="20"/>
                <w:szCs w:val="20"/>
              </w:rPr>
              <w:t>实施单位</w:t>
            </w:r>
          </w:p>
        </w:tc>
        <w:tc>
          <w:tcPr>
            <w:tcW w:w="2380" w:type="dxa"/>
            <w:tcBorders>
              <w:tl2br w:val="nil"/>
              <w:tr2bl w:val="nil"/>
            </w:tcBorders>
            <w:vAlign w:val="center"/>
          </w:tcPr>
          <w:p>
            <w:pPr>
              <w:jc w:val="center"/>
              <w:rPr>
                <w:rFonts w:hint="eastAsia" w:eastAsiaTheme="minorEastAsia"/>
                <w:lang w:val="en-US" w:eastAsia="zh-CN"/>
              </w:rPr>
            </w:pPr>
            <w:r>
              <w:rPr>
                <w:rFonts w:hint="eastAsia"/>
                <w:lang w:val="en-US" w:eastAsia="zh-CN"/>
              </w:rPr>
              <w:t>淮北市住房公积金管理中心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项目来源</w:t>
            </w:r>
          </w:p>
        </w:tc>
        <w:tc>
          <w:tcPr>
            <w:tcW w:w="3349" w:type="dxa"/>
            <w:gridSpan w:val="2"/>
            <w:tcBorders>
              <w:tl2br w:val="nil"/>
              <w:tr2bl w:val="nil"/>
            </w:tcBorders>
            <w:vAlign w:val="center"/>
          </w:tcPr>
          <w:p>
            <w:pPr>
              <w:jc w:val="center"/>
              <w:rPr>
                <w:rFonts w:hint="eastAsia" w:ascii="宋体" w:cs="宋体" w:eastAsiaTheme="minorEastAsia"/>
                <w:sz w:val="20"/>
                <w:lang w:val="en-US" w:eastAsia="zh-CN"/>
              </w:rPr>
            </w:pPr>
            <w:r>
              <w:rPr>
                <w:rFonts w:hint="eastAsia" w:ascii="宋体" w:cs="宋体"/>
                <w:sz w:val="20"/>
                <w:lang w:val="en-US" w:eastAsia="zh-CN"/>
              </w:rPr>
              <w:t>单位申报</w:t>
            </w:r>
          </w:p>
        </w:tc>
        <w:tc>
          <w:tcPr>
            <w:tcW w:w="1848" w:type="dxa"/>
            <w:tcBorders>
              <w:tl2br w:val="nil"/>
              <w:tr2bl w:val="nil"/>
            </w:tcBorders>
            <w:vAlign w:val="center"/>
          </w:tcPr>
          <w:p>
            <w:pPr>
              <w:widowControl/>
              <w:jc w:val="center"/>
              <w:textAlignment w:val="center"/>
            </w:pPr>
            <w:r>
              <w:rPr>
                <w:rFonts w:hint="eastAsia" w:ascii="宋体" w:hAnsi="宋体" w:eastAsia="宋体" w:cs="宋体"/>
                <w:color w:val="000000"/>
                <w:kern w:val="0"/>
                <w:sz w:val="20"/>
                <w:szCs w:val="20"/>
              </w:rPr>
              <w:t>项目期</w:t>
            </w:r>
          </w:p>
        </w:tc>
        <w:tc>
          <w:tcPr>
            <w:tcW w:w="2380" w:type="dxa"/>
            <w:tcBorders>
              <w:tl2br w:val="nil"/>
              <w:tr2bl w:val="nil"/>
            </w:tcBorders>
            <w:vAlign w:val="center"/>
          </w:tcPr>
          <w:p>
            <w:pPr>
              <w:jc w:val="center"/>
              <w:rPr>
                <w:rFonts w:hint="default" w:eastAsiaTheme="minorEastAsia"/>
                <w:lang w:val="en-US" w:eastAsia="zh-CN"/>
              </w:rPr>
            </w:pPr>
            <w:r>
              <w:rPr>
                <w:rFonts w:hint="eastAsia"/>
                <w:lang w:val="en-US" w:eastAsia="zh-CN"/>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项目资金</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（万元）</w:t>
            </w: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年度资金总额：</w:t>
            </w:r>
          </w:p>
        </w:tc>
        <w:tc>
          <w:tcPr>
            <w:tcW w:w="4228" w:type="dxa"/>
            <w:gridSpan w:val="2"/>
            <w:tcBorders>
              <w:tl2br w:val="nil"/>
              <w:tr2bl w:val="nil"/>
            </w:tcBorders>
            <w:vAlign w:val="center"/>
          </w:tcPr>
          <w:p>
            <w:pPr>
              <w:jc w:val="right"/>
              <w:rPr>
                <w:rFonts w:ascii="宋体" w:cs="宋体"/>
                <w:sz w:val="20"/>
              </w:rPr>
            </w:pPr>
            <w:r>
              <w:rPr>
                <w:rFonts w:hint="eastAsia" w:ascii="宋体" w:cs="宋体"/>
                <w:sz w:val="20"/>
              </w:rPr>
              <w:t>188.85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宋体" w:cs="宋体"/>
                <w:sz w:val="20"/>
              </w:rPr>
            </w:pP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其中：财政拨款</w:t>
            </w:r>
          </w:p>
        </w:tc>
        <w:tc>
          <w:tcPr>
            <w:tcW w:w="4228" w:type="dxa"/>
            <w:gridSpan w:val="2"/>
            <w:tcBorders>
              <w:tl2br w:val="nil"/>
              <w:tr2bl w:val="nil"/>
            </w:tcBorders>
            <w:vAlign w:val="center"/>
          </w:tcPr>
          <w:p>
            <w:pPr>
              <w:jc w:val="right"/>
              <w:rPr>
                <w:rFonts w:ascii="宋体" w:cs="宋体" w:hAnsiTheme="minorHAnsi" w:eastAsiaTheme="minorEastAsia"/>
                <w:kern w:val="2"/>
                <w:sz w:val="20"/>
                <w:szCs w:val="22"/>
                <w:lang w:val="en-US" w:eastAsia="zh-CN" w:bidi="ar-SA"/>
              </w:rPr>
            </w:pPr>
            <w:r>
              <w:rPr>
                <w:rFonts w:hint="eastAsia" w:ascii="宋体" w:cs="宋体"/>
                <w:sz w:val="20"/>
              </w:rPr>
              <w:t>188.85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宋体" w:cs="宋体"/>
                <w:sz w:val="20"/>
              </w:rPr>
            </w:pP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上年结转</w:t>
            </w:r>
          </w:p>
        </w:tc>
        <w:tc>
          <w:tcPr>
            <w:tcW w:w="4228" w:type="dxa"/>
            <w:gridSpan w:val="2"/>
            <w:tcBorders>
              <w:tl2br w:val="nil"/>
              <w:tr2bl w:val="nil"/>
            </w:tcBorders>
            <w:vAlign w:val="center"/>
          </w:tcPr>
          <w:p>
            <w:pPr>
              <w:jc w:val="center"/>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宋体" w:cs="宋体"/>
                <w:sz w:val="20"/>
              </w:rPr>
            </w:pP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其他资金</w:t>
            </w:r>
          </w:p>
        </w:tc>
        <w:tc>
          <w:tcPr>
            <w:tcW w:w="4228" w:type="dxa"/>
            <w:gridSpan w:val="2"/>
            <w:tcBorders>
              <w:tl2br w:val="nil"/>
              <w:tr2bl w:val="nil"/>
            </w:tcBorders>
            <w:vAlign w:val="center"/>
          </w:tcPr>
          <w:p>
            <w:pPr>
              <w:jc w:val="right"/>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438" w:type="dxa"/>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年度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目标</w:t>
            </w:r>
          </w:p>
        </w:tc>
        <w:tc>
          <w:tcPr>
            <w:tcW w:w="8582" w:type="dxa"/>
            <w:gridSpan w:val="6"/>
            <w:tcBorders>
              <w:tl2br w:val="nil"/>
              <w:tr2bl w:val="nil"/>
            </w:tcBorders>
            <w:vAlign w:val="center"/>
          </w:tcPr>
          <w:p>
            <w:pPr>
              <w:jc w:val="left"/>
              <w:rPr>
                <w:rFonts w:ascii="宋体" w:cs="宋体"/>
                <w:sz w:val="20"/>
              </w:rPr>
            </w:pPr>
            <w:r>
              <w:rPr>
                <w:rFonts w:hint="eastAsia" w:ascii="宋体" w:cs="宋体"/>
                <w:sz w:val="20"/>
              </w:rPr>
              <w:t>按照合同约定支付。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438" w:type="dxa"/>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绩</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效</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标</w:t>
            </w:r>
          </w:p>
        </w:tc>
        <w:tc>
          <w:tcPr>
            <w:tcW w:w="723" w:type="dxa"/>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一级</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指标</w:t>
            </w: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二级指标</w:t>
            </w:r>
          </w:p>
        </w:tc>
        <w:tc>
          <w:tcPr>
            <w:tcW w:w="2872" w:type="dxa"/>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三级指标</w:t>
            </w:r>
          </w:p>
        </w:tc>
        <w:tc>
          <w:tcPr>
            <w:tcW w:w="4228" w:type="dxa"/>
            <w:gridSpan w:val="2"/>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产出指标</w:t>
            </w: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数量指标</w:t>
            </w:r>
          </w:p>
        </w:tc>
        <w:tc>
          <w:tcPr>
            <w:tcW w:w="2872" w:type="dxa"/>
            <w:tcBorders>
              <w:tl2br w:val="nil"/>
              <w:tr2bl w:val="nil"/>
            </w:tcBorders>
            <w:vAlign w:val="center"/>
          </w:tcPr>
          <w:p>
            <w:pPr>
              <w:widowControl/>
              <w:jc w:val="left"/>
              <w:textAlignment w:val="center"/>
              <w:rPr>
                <w:rFonts w:hint="eastAsia" w:ascii="宋体" w:eastAsia="宋体" w:cs="宋体"/>
                <w:sz w:val="20"/>
                <w:lang w:eastAsia="zh-CN"/>
              </w:rPr>
            </w:pPr>
            <w:r>
              <w:rPr>
                <w:rFonts w:hint="eastAsia" w:ascii="宋体" w:hAnsi="宋体" w:eastAsia="宋体" w:cs="宋体"/>
                <w:color w:val="000000"/>
                <w:kern w:val="0"/>
                <w:sz w:val="20"/>
                <w:szCs w:val="20"/>
              </w:rPr>
              <w:t>指标</w:t>
            </w:r>
            <w:r>
              <w:rPr>
                <w:rFonts w:hint="eastAsia" w:ascii="宋体" w:hAnsi="宋体" w:eastAsia="宋体" w:cs="宋体"/>
                <w:color w:val="000000"/>
                <w:kern w:val="0"/>
                <w:sz w:val="20"/>
                <w:szCs w:val="20"/>
                <w:lang w:eastAsia="zh-CN"/>
              </w:rPr>
              <w:t>：运维项目个数</w:t>
            </w:r>
          </w:p>
        </w:tc>
        <w:tc>
          <w:tcPr>
            <w:tcW w:w="4228" w:type="dxa"/>
            <w:gridSpan w:val="2"/>
            <w:tcBorders>
              <w:tl2br w:val="nil"/>
              <w:tr2bl w:val="nil"/>
            </w:tcBorders>
            <w:vAlign w:val="center"/>
          </w:tcPr>
          <w:p>
            <w:pPr>
              <w:jc w:val="center"/>
              <w:rPr>
                <w:rFonts w:hint="eastAsia" w:ascii="宋体" w:cs="宋体" w:eastAsiaTheme="minorEastAsia"/>
                <w:sz w:val="20"/>
                <w:lang w:val="en-US" w:eastAsia="zh-CN"/>
              </w:rPr>
            </w:pPr>
            <w:r>
              <w:rPr>
                <w:rFonts w:hint="default" w:ascii="宋体" w:cs="宋体"/>
                <w:sz w:val="20"/>
                <w:lang w:val="en-US"/>
              </w:rPr>
              <w:t>=8</w:t>
            </w:r>
            <w:r>
              <w:rPr>
                <w:rFonts w:hint="eastAsia" w:ascii="宋体" w:cs="宋体"/>
                <w:sz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restart"/>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质量指标</w:t>
            </w:r>
          </w:p>
        </w:tc>
        <w:tc>
          <w:tcPr>
            <w:tcW w:w="2872" w:type="dxa"/>
            <w:tcBorders>
              <w:tl2br w:val="nil"/>
              <w:tr2bl w:val="nil"/>
            </w:tcBorders>
            <w:vAlign w:val="center"/>
          </w:tcPr>
          <w:p>
            <w:pPr>
              <w:widowControl/>
              <w:jc w:val="left"/>
              <w:textAlignment w:val="center"/>
              <w:rPr>
                <w:rFonts w:hint="eastAsia" w:ascii="宋体" w:eastAsia="宋体" w:cs="宋体"/>
                <w:sz w:val="20"/>
                <w:lang w:eastAsia="zh-CN"/>
              </w:rPr>
            </w:pPr>
            <w:r>
              <w:rPr>
                <w:rFonts w:hint="eastAsia" w:ascii="宋体" w:hAnsi="宋体" w:eastAsia="宋体" w:cs="宋体"/>
                <w:color w:val="000000"/>
                <w:kern w:val="0"/>
                <w:sz w:val="20"/>
                <w:szCs w:val="20"/>
              </w:rPr>
              <w:t>指标</w:t>
            </w:r>
            <w:r>
              <w:rPr>
                <w:rFonts w:hint="eastAsia" w:ascii="宋体" w:hAnsi="宋体" w:eastAsia="宋体" w:cs="宋体"/>
                <w:color w:val="000000"/>
                <w:kern w:val="0"/>
                <w:sz w:val="20"/>
                <w:szCs w:val="20"/>
                <w:lang w:eastAsia="zh-CN"/>
              </w:rPr>
              <w:t>：机房运维服务达标率</w:t>
            </w:r>
          </w:p>
        </w:tc>
        <w:tc>
          <w:tcPr>
            <w:tcW w:w="4228" w:type="dxa"/>
            <w:gridSpan w:val="2"/>
            <w:tcBorders>
              <w:tl2br w:val="nil"/>
              <w:tr2bl w:val="nil"/>
            </w:tcBorders>
            <w:vAlign w:val="center"/>
          </w:tcPr>
          <w:p>
            <w:pPr>
              <w:jc w:val="center"/>
              <w:rPr>
                <w:rFonts w:hint="default" w:ascii="宋体" w:cs="宋体"/>
                <w:sz w:val="20"/>
                <w:lang w:val="en-US"/>
              </w:rPr>
            </w:pPr>
            <w:r>
              <w:rPr>
                <w:rFonts w:hint="eastAsia" w:ascii="宋体" w:cs="宋体"/>
                <w:sz w:val="20"/>
              </w:rPr>
              <w:t>≥</w:t>
            </w:r>
            <w:r>
              <w:rPr>
                <w:rFonts w:hint="default" w:ascii="宋体" w:cs="宋体"/>
                <w:sz w:val="20"/>
                <w:lang w:val="en-US"/>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continue"/>
            <w:tcBorders>
              <w:tl2br w:val="nil"/>
              <w:tr2bl w:val="nil"/>
            </w:tcBorders>
            <w:vAlign w:val="center"/>
          </w:tcPr>
          <w:p>
            <w:pPr>
              <w:widowControl/>
              <w:spacing w:line="200" w:lineRule="exact"/>
              <w:jc w:val="center"/>
              <w:textAlignment w:val="center"/>
              <w:rPr>
                <w:rFonts w:hint="eastAsia" w:ascii="宋体" w:hAnsi="宋体" w:eastAsia="宋体" w:cs="宋体"/>
                <w:color w:val="000000"/>
                <w:kern w:val="0"/>
                <w:sz w:val="20"/>
                <w:szCs w:val="20"/>
              </w:rPr>
            </w:pPr>
          </w:p>
        </w:tc>
        <w:tc>
          <w:tcPr>
            <w:tcW w:w="2872" w:type="dxa"/>
            <w:tcBorders>
              <w:tl2br w:val="nil"/>
              <w:tr2bl w:val="nil"/>
            </w:tcBorders>
            <w:vAlign w:val="center"/>
          </w:tcPr>
          <w:p>
            <w:pPr>
              <w:widowControl/>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指标</w:t>
            </w:r>
            <w:r>
              <w:rPr>
                <w:rFonts w:hint="eastAsia" w:ascii="宋体" w:hAnsi="宋体" w:eastAsia="宋体" w:cs="宋体"/>
                <w:color w:val="000000"/>
                <w:kern w:val="0"/>
                <w:sz w:val="20"/>
                <w:szCs w:val="20"/>
                <w:lang w:eastAsia="zh-CN"/>
              </w:rPr>
              <w:t>：系统运行事故发生频率</w:t>
            </w:r>
          </w:p>
        </w:tc>
        <w:tc>
          <w:tcPr>
            <w:tcW w:w="4228" w:type="dxa"/>
            <w:gridSpan w:val="2"/>
            <w:tcBorders>
              <w:tl2br w:val="nil"/>
              <w:tr2bl w:val="nil"/>
            </w:tcBorders>
            <w:vAlign w:val="center"/>
          </w:tcPr>
          <w:p>
            <w:pPr>
              <w:jc w:val="center"/>
              <w:rPr>
                <w:rFonts w:hint="default" w:ascii="宋体" w:cs="宋体"/>
                <w:sz w:val="20"/>
                <w:lang w:val="en-US"/>
              </w:rPr>
            </w:pPr>
            <w:r>
              <w:rPr>
                <w:rFonts w:hint="eastAsia" w:ascii="宋体" w:cs="宋体"/>
                <w:sz w:val="20"/>
              </w:rPr>
              <w:t>≤</w:t>
            </w:r>
            <w:r>
              <w:rPr>
                <w:rFonts w:hint="default" w:ascii="宋体" w:cs="宋体"/>
                <w:sz w:val="20"/>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continue"/>
            <w:tcBorders>
              <w:tl2br w:val="nil"/>
              <w:tr2bl w:val="nil"/>
            </w:tcBorders>
            <w:vAlign w:val="center"/>
          </w:tcPr>
          <w:p>
            <w:pPr>
              <w:jc w:val="center"/>
              <w:rPr>
                <w:rFonts w:ascii="宋体" w:cs="宋体"/>
                <w:sz w:val="20"/>
              </w:rPr>
            </w:pPr>
          </w:p>
        </w:tc>
        <w:tc>
          <w:tcPr>
            <w:tcW w:w="2872" w:type="dxa"/>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指标</w:t>
            </w:r>
            <w:r>
              <w:rPr>
                <w:rFonts w:hint="eastAsia" w:ascii="宋体" w:hAnsi="宋体" w:eastAsia="宋体" w:cs="宋体"/>
                <w:color w:val="000000"/>
                <w:kern w:val="0"/>
                <w:sz w:val="20"/>
                <w:szCs w:val="20"/>
                <w:lang w:eastAsia="zh-CN"/>
              </w:rPr>
              <w:t>：12329电话接通率</w:t>
            </w:r>
          </w:p>
        </w:tc>
        <w:tc>
          <w:tcPr>
            <w:tcW w:w="4228" w:type="dxa"/>
            <w:gridSpan w:val="2"/>
            <w:tcBorders>
              <w:tl2br w:val="nil"/>
              <w:tr2bl w:val="nil"/>
            </w:tcBorders>
            <w:vAlign w:val="center"/>
          </w:tcPr>
          <w:p>
            <w:pPr>
              <w:jc w:val="center"/>
              <w:rPr>
                <w:rFonts w:hint="default" w:ascii="宋体" w:cs="宋体" w:hAnsiTheme="minorHAnsi" w:eastAsiaTheme="minorEastAsia"/>
                <w:kern w:val="2"/>
                <w:sz w:val="20"/>
                <w:szCs w:val="22"/>
                <w:lang w:val="en-US" w:eastAsia="zh-CN" w:bidi="ar-SA"/>
              </w:rPr>
            </w:pPr>
            <w:r>
              <w:rPr>
                <w:rFonts w:hint="eastAsia" w:ascii="宋体" w:cs="宋体"/>
                <w:sz w:val="20"/>
              </w:rPr>
              <w:t>≥</w:t>
            </w:r>
            <w:r>
              <w:rPr>
                <w:rFonts w:hint="default" w:ascii="宋体" w:cs="宋体"/>
                <w:sz w:val="20"/>
                <w:lang w:val="en-US"/>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restart"/>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时效指标</w:t>
            </w:r>
          </w:p>
        </w:tc>
        <w:tc>
          <w:tcPr>
            <w:tcW w:w="2872" w:type="dxa"/>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指标</w:t>
            </w:r>
            <w:r>
              <w:rPr>
                <w:rFonts w:hint="eastAsia" w:ascii="宋体" w:hAnsi="宋体" w:eastAsia="宋体" w:cs="宋体"/>
                <w:color w:val="000000"/>
                <w:kern w:val="0"/>
                <w:sz w:val="20"/>
                <w:szCs w:val="20"/>
                <w:lang w:eastAsia="zh-CN"/>
              </w:rPr>
              <w:t>：机房运维周期</w:t>
            </w:r>
          </w:p>
        </w:tc>
        <w:tc>
          <w:tcPr>
            <w:tcW w:w="4228" w:type="dxa"/>
            <w:gridSpan w:val="2"/>
            <w:tcBorders>
              <w:tl2br w:val="nil"/>
              <w:tr2bl w:val="nil"/>
            </w:tcBorders>
            <w:vAlign w:val="center"/>
          </w:tcPr>
          <w:p>
            <w:pPr>
              <w:jc w:val="center"/>
              <w:rPr>
                <w:rFonts w:ascii="宋体" w:cs="宋体"/>
                <w:sz w:val="20"/>
              </w:rPr>
            </w:pPr>
            <w:r>
              <w:rPr>
                <w:rFonts w:hint="eastAsia" w:ascii="宋体" w:cs="宋体"/>
                <w:sz w:val="20"/>
              </w:rPr>
              <w:t>每季度至少一次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continue"/>
            <w:tcBorders>
              <w:tl2br w:val="nil"/>
              <w:tr2bl w:val="nil"/>
            </w:tcBorders>
            <w:vAlign w:val="center"/>
          </w:tcPr>
          <w:p>
            <w:pPr>
              <w:widowControl/>
              <w:spacing w:line="200" w:lineRule="exact"/>
              <w:jc w:val="center"/>
              <w:textAlignment w:val="center"/>
              <w:rPr>
                <w:rFonts w:hint="eastAsia" w:ascii="宋体" w:hAnsi="宋体" w:eastAsia="宋体" w:cs="宋体"/>
                <w:color w:val="000000"/>
                <w:kern w:val="0"/>
                <w:sz w:val="20"/>
                <w:szCs w:val="20"/>
              </w:rPr>
            </w:pPr>
          </w:p>
        </w:tc>
        <w:tc>
          <w:tcPr>
            <w:tcW w:w="2872" w:type="dxa"/>
            <w:tcBorders>
              <w:tl2br w:val="nil"/>
              <w:tr2bl w:val="nil"/>
            </w:tcBorders>
            <w:vAlign w:val="center"/>
          </w:tcPr>
          <w:p>
            <w:pPr>
              <w:widowControl/>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指标</w:t>
            </w:r>
            <w:r>
              <w:rPr>
                <w:rFonts w:hint="eastAsia" w:ascii="宋体" w:hAnsi="宋体" w:eastAsia="宋体" w:cs="宋体"/>
                <w:color w:val="000000"/>
                <w:kern w:val="0"/>
                <w:sz w:val="20"/>
                <w:szCs w:val="20"/>
                <w:lang w:eastAsia="zh-CN"/>
              </w:rPr>
              <w:t>：信息系统故障修复响应时间</w:t>
            </w:r>
          </w:p>
        </w:tc>
        <w:tc>
          <w:tcPr>
            <w:tcW w:w="4228" w:type="dxa"/>
            <w:gridSpan w:val="2"/>
            <w:tcBorders>
              <w:tl2br w:val="nil"/>
              <w:tr2bl w:val="nil"/>
            </w:tcBorders>
            <w:vAlign w:val="center"/>
          </w:tcPr>
          <w:p>
            <w:pPr>
              <w:jc w:val="center"/>
              <w:rPr>
                <w:rFonts w:ascii="宋体" w:cs="宋体"/>
                <w:sz w:val="20"/>
              </w:rPr>
            </w:pPr>
            <w:r>
              <w:rPr>
                <w:rFonts w:hint="eastAsia" w:ascii="宋体" w:cs="宋体"/>
                <w:sz w:val="20"/>
              </w:rPr>
              <w:t>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continue"/>
            <w:tcBorders>
              <w:tl2br w:val="nil"/>
              <w:tr2bl w:val="nil"/>
            </w:tcBorders>
            <w:vAlign w:val="center"/>
          </w:tcPr>
          <w:p>
            <w:pPr>
              <w:widowControl/>
              <w:spacing w:line="200" w:lineRule="exact"/>
              <w:jc w:val="center"/>
              <w:textAlignment w:val="center"/>
              <w:rPr>
                <w:rFonts w:hint="eastAsia" w:ascii="宋体" w:hAnsi="宋体" w:eastAsia="宋体" w:cs="宋体"/>
                <w:color w:val="000000"/>
                <w:kern w:val="0"/>
                <w:sz w:val="20"/>
                <w:szCs w:val="20"/>
              </w:rPr>
            </w:pPr>
          </w:p>
        </w:tc>
        <w:tc>
          <w:tcPr>
            <w:tcW w:w="2872" w:type="dxa"/>
            <w:tcBorders>
              <w:tl2br w:val="nil"/>
              <w:tr2bl w:val="nil"/>
            </w:tcBorders>
            <w:vAlign w:val="center"/>
          </w:tcPr>
          <w:p>
            <w:pPr>
              <w:widowControl/>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指标</w:t>
            </w:r>
            <w:r>
              <w:rPr>
                <w:rFonts w:hint="eastAsia" w:ascii="宋体" w:hAnsi="宋体" w:eastAsia="宋体" w:cs="宋体"/>
                <w:color w:val="000000"/>
                <w:kern w:val="0"/>
                <w:sz w:val="20"/>
                <w:szCs w:val="20"/>
                <w:lang w:eastAsia="zh-CN"/>
              </w:rPr>
              <w:t>：是否按时保质保量完成</w:t>
            </w:r>
          </w:p>
        </w:tc>
        <w:tc>
          <w:tcPr>
            <w:tcW w:w="4228" w:type="dxa"/>
            <w:gridSpan w:val="2"/>
            <w:tcBorders>
              <w:tl2br w:val="nil"/>
              <w:tr2bl w:val="nil"/>
            </w:tcBorders>
            <w:vAlign w:val="center"/>
          </w:tcPr>
          <w:p>
            <w:pPr>
              <w:jc w:val="center"/>
              <w:rPr>
                <w:rFonts w:hint="eastAsia" w:ascii="宋体" w:cs="宋体"/>
                <w:sz w:val="20"/>
              </w:rPr>
            </w:pPr>
            <w:r>
              <w:rPr>
                <w:rFonts w:hint="eastAsia" w:ascii="宋体" w:cs="宋体"/>
                <w:sz w:val="20"/>
              </w:rPr>
              <w:t>按时完成</w:t>
            </w:r>
          </w:p>
          <w:p>
            <w:pPr>
              <w:jc w:val="both"/>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continue"/>
            <w:tcBorders>
              <w:tl2br w:val="nil"/>
              <w:tr2bl w:val="nil"/>
            </w:tcBorders>
            <w:vAlign w:val="center"/>
          </w:tcPr>
          <w:p>
            <w:pPr>
              <w:jc w:val="center"/>
              <w:rPr>
                <w:rFonts w:ascii="宋体" w:cs="宋体"/>
                <w:sz w:val="20"/>
              </w:rPr>
            </w:pPr>
          </w:p>
        </w:tc>
        <w:tc>
          <w:tcPr>
            <w:tcW w:w="2872" w:type="dxa"/>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指标</w:t>
            </w:r>
            <w:r>
              <w:rPr>
                <w:rFonts w:hint="eastAsia" w:ascii="宋体" w:hAnsi="宋体" w:eastAsia="宋体" w:cs="宋体"/>
                <w:color w:val="000000"/>
                <w:kern w:val="0"/>
                <w:sz w:val="20"/>
                <w:szCs w:val="20"/>
                <w:lang w:eastAsia="zh-CN"/>
              </w:rPr>
              <w:t>：12329客服人员工资支付进度</w:t>
            </w:r>
          </w:p>
        </w:tc>
        <w:tc>
          <w:tcPr>
            <w:tcW w:w="4228" w:type="dxa"/>
            <w:gridSpan w:val="2"/>
            <w:tcBorders>
              <w:tl2br w:val="nil"/>
              <w:tr2bl w:val="nil"/>
            </w:tcBorders>
            <w:vAlign w:val="center"/>
          </w:tcPr>
          <w:p>
            <w:pPr>
              <w:jc w:val="center"/>
              <w:rPr>
                <w:rFonts w:hint="eastAsia" w:ascii="宋体" w:cs="宋体" w:eastAsiaTheme="minorEastAsia"/>
                <w:sz w:val="20"/>
                <w:lang w:val="en-US" w:eastAsia="zh-CN"/>
              </w:rPr>
            </w:pPr>
            <w:r>
              <w:rPr>
                <w:rFonts w:hint="eastAsia" w:ascii="宋体" w:cs="宋体"/>
                <w:sz w:val="20"/>
                <w:lang w:val="en-US" w:eastAsia="zh-CN"/>
              </w:rPr>
              <w:t>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成本指标</w:t>
            </w:r>
          </w:p>
        </w:tc>
        <w:tc>
          <w:tcPr>
            <w:tcW w:w="2872" w:type="dxa"/>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指标：系统运行维护成本</w:t>
            </w:r>
          </w:p>
        </w:tc>
        <w:tc>
          <w:tcPr>
            <w:tcW w:w="4228" w:type="dxa"/>
            <w:gridSpan w:val="2"/>
            <w:tcBorders>
              <w:tl2br w:val="nil"/>
              <w:tr2bl w:val="nil"/>
            </w:tcBorders>
            <w:vAlign w:val="center"/>
          </w:tcPr>
          <w:p>
            <w:pPr>
              <w:jc w:val="center"/>
              <w:rPr>
                <w:rFonts w:ascii="宋体" w:cs="宋体"/>
                <w:sz w:val="20"/>
              </w:rPr>
            </w:pPr>
            <w:r>
              <w:rPr>
                <w:rFonts w:hint="eastAsia" w:ascii="宋体" w:cs="宋体"/>
                <w:sz w:val="20"/>
              </w:rPr>
              <w:t>≤188</w:t>
            </w:r>
            <w:r>
              <w:rPr>
                <w:rFonts w:hint="default" w:ascii="宋体" w:cs="宋体"/>
                <w:sz w:val="20"/>
                <w:lang w:val="en-US"/>
              </w:rPr>
              <w:t>.</w:t>
            </w:r>
            <w:r>
              <w:rPr>
                <w:rFonts w:hint="eastAsia" w:ascii="宋体" w:cs="宋体"/>
                <w:sz w:val="20"/>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效益指标</w:t>
            </w:r>
          </w:p>
        </w:tc>
        <w:tc>
          <w:tcPr>
            <w:tcW w:w="759" w:type="dxa"/>
            <w:gridSpan w:val="2"/>
            <w:vMerge w:val="restart"/>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经济效益指标</w:t>
            </w:r>
          </w:p>
        </w:tc>
        <w:tc>
          <w:tcPr>
            <w:tcW w:w="2872" w:type="dxa"/>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指标：对避免重复投入运维费用的改善程度</w:t>
            </w:r>
          </w:p>
        </w:tc>
        <w:tc>
          <w:tcPr>
            <w:tcW w:w="4228" w:type="dxa"/>
            <w:gridSpan w:val="2"/>
            <w:tcBorders>
              <w:tl2br w:val="nil"/>
              <w:tr2bl w:val="nil"/>
            </w:tcBorders>
            <w:vAlign w:val="center"/>
          </w:tcPr>
          <w:p>
            <w:pPr>
              <w:jc w:val="center"/>
              <w:rPr>
                <w:rFonts w:ascii="宋体" w:cs="宋体"/>
                <w:sz w:val="20"/>
              </w:rPr>
            </w:pPr>
            <w:r>
              <w:rPr>
                <w:rFonts w:hint="eastAsia" w:ascii="宋体" w:cs="宋体"/>
                <w:sz w:val="20"/>
              </w:rPr>
              <w:t>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continue"/>
            <w:tcBorders>
              <w:tl2br w:val="nil"/>
              <w:tr2bl w:val="nil"/>
            </w:tcBorders>
            <w:vAlign w:val="center"/>
          </w:tcPr>
          <w:p>
            <w:pPr>
              <w:jc w:val="center"/>
              <w:rPr>
                <w:rFonts w:ascii="宋体" w:cs="宋体"/>
                <w:sz w:val="20"/>
              </w:rPr>
            </w:pPr>
          </w:p>
        </w:tc>
        <w:tc>
          <w:tcPr>
            <w:tcW w:w="2872" w:type="dxa"/>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指标</w:t>
            </w:r>
            <w:r>
              <w:rPr>
                <w:rFonts w:hint="eastAsia" w:ascii="宋体" w:hAnsi="宋体" w:eastAsia="宋体" w:cs="宋体"/>
                <w:color w:val="000000"/>
                <w:kern w:val="0"/>
                <w:sz w:val="20"/>
                <w:szCs w:val="20"/>
                <w:lang w:eastAsia="zh-CN"/>
              </w:rPr>
              <w:t>：对延长设备生命周期、降低故障率的影响程度</w:t>
            </w:r>
          </w:p>
        </w:tc>
        <w:tc>
          <w:tcPr>
            <w:tcW w:w="4228" w:type="dxa"/>
            <w:gridSpan w:val="2"/>
            <w:tcBorders>
              <w:tl2br w:val="nil"/>
              <w:tr2bl w:val="nil"/>
            </w:tcBorders>
            <w:vAlign w:val="center"/>
          </w:tcPr>
          <w:p>
            <w:pPr>
              <w:jc w:val="center"/>
              <w:rPr>
                <w:rFonts w:ascii="宋体" w:cs="宋体"/>
                <w:sz w:val="20"/>
              </w:rPr>
            </w:pPr>
            <w:r>
              <w:rPr>
                <w:rFonts w:hint="eastAsia" w:ascii="宋体" w:cs="宋体"/>
                <w:sz w:val="20"/>
              </w:rPr>
              <w:t>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restart"/>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社会效益指标</w:t>
            </w:r>
          </w:p>
        </w:tc>
        <w:tc>
          <w:tcPr>
            <w:tcW w:w="2872" w:type="dxa"/>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指标：对提高公共服务能力和效率的改善或提升程度</w:t>
            </w:r>
          </w:p>
        </w:tc>
        <w:tc>
          <w:tcPr>
            <w:tcW w:w="4228" w:type="dxa"/>
            <w:gridSpan w:val="2"/>
            <w:tcBorders>
              <w:tl2br w:val="nil"/>
              <w:tr2bl w:val="nil"/>
            </w:tcBorders>
            <w:vAlign w:val="center"/>
          </w:tcPr>
          <w:p>
            <w:pPr>
              <w:jc w:val="center"/>
              <w:rPr>
                <w:rFonts w:ascii="宋体" w:cs="宋体"/>
                <w:sz w:val="20"/>
              </w:rPr>
            </w:pPr>
            <w:r>
              <w:rPr>
                <w:rFonts w:hint="eastAsia" w:ascii="宋体" w:cs="宋体"/>
                <w:sz w:val="20"/>
              </w:rPr>
              <w:t>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continue"/>
            <w:tcBorders>
              <w:tl2br w:val="nil"/>
              <w:tr2bl w:val="nil"/>
            </w:tcBorders>
            <w:vAlign w:val="center"/>
          </w:tcPr>
          <w:p>
            <w:pPr>
              <w:jc w:val="center"/>
              <w:rPr>
                <w:rFonts w:ascii="宋体" w:cs="宋体"/>
                <w:sz w:val="20"/>
              </w:rPr>
            </w:pPr>
          </w:p>
        </w:tc>
        <w:tc>
          <w:tcPr>
            <w:tcW w:w="2872" w:type="dxa"/>
            <w:tcBorders>
              <w:tl2br w:val="nil"/>
              <w:tr2bl w:val="nil"/>
            </w:tcBorders>
            <w:vAlign w:val="center"/>
          </w:tcPr>
          <w:p>
            <w:pPr>
              <w:widowControl/>
              <w:jc w:val="left"/>
              <w:textAlignment w:val="center"/>
              <w:rPr>
                <w:rFonts w:ascii="宋体" w:cs="宋体"/>
                <w:sz w:val="20"/>
                <w:shd w:val="clear" w:color="auto" w:fill="auto"/>
              </w:rPr>
            </w:pPr>
            <w:r>
              <w:rPr>
                <w:rFonts w:hint="eastAsia" w:ascii="宋体" w:hAnsi="宋体" w:eastAsia="宋体" w:cs="宋体"/>
                <w:color w:val="000000"/>
                <w:kern w:val="0"/>
                <w:sz w:val="20"/>
                <w:szCs w:val="20"/>
                <w:shd w:val="clear" w:color="auto" w:fill="auto"/>
              </w:rPr>
              <w:t>指标</w:t>
            </w:r>
            <w:r>
              <w:rPr>
                <w:rFonts w:hint="eastAsia" w:ascii="宋体" w:hAnsi="宋体" w:eastAsia="宋体" w:cs="宋体"/>
                <w:color w:val="000000"/>
                <w:kern w:val="0"/>
                <w:sz w:val="20"/>
                <w:szCs w:val="20"/>
                <w:shd w:val="clear" w:color="auto" w:fill="auto"/>
                <w:lang w:eastAsia="zh-CN"/>
              </w:rPr>
              <w:t>：对信息系统可用性及稳定性的改善或提升程度</w:t>
            </w:r>
          </w:p>
        </w:tc>
        <w:tc>
          <w:tcPr>
            <w:tcW w:w="4228" w:type="dxa"/>
            <w:gridSpan w:val="2"/>
            <w:tcBorders>
              <w:tl2br w:val="nil"/>
              <w:tr2bl w:val="nil"/>
            </w:tcBorders>
            <w:vAlign w:val="center"/>
          </w:tcPr>
          <w:p>
            <w:pPr>
              <w:jc w:val="center"/>
              <w:rPr>
                <w:rFonts w:ascii="宋体" w:cs="宋体"/>
                <w:sz w:val="20"/>
                <w:shd w:val="clear" w:color="auto" w:fill="auto"/>
              </w:rPr>
            </w:pPr>
            <w:r>
              <w:rPr>
                <w:rFonts w:hint="eastAsia" w:ascii="宋体" w:cs="宋体"/>
                <w:sz w:val="20"/>
                <w:shd w:val="clear" w:color="auto" w:fill="auto"/>
              </w:rPr>
              <w:t>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restart"/>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生态效益指标</w:t>
            </w:r>
          </w:p>
        </w:tc>
        <w:tc>
          <w:tcPr>
            <w:tcW w:w="2872" w:type="dxa"/>
            <w:tcBorders>
              <w:tl2br w:val="nil"/>
              <w:tr2bl w:val="nil"/>
            </w:tcBorders>
            <w:vAlign w:val="center"/>
          </w:tcPr>
          <w:p>
            <w:pPr>
              <w:jc w:val="left"/>
              <w:rPr>
                <w:rFonts w:ascii="Helvetica" w:hAnsi="Helvetica" w:eastAsia="Helvetica" w:cs="Helvetica"/>
                <w:i w:val="0"/>
                <w:iCs w:val="0"/>
                <w:caps w:val="0"/>
                <w:color w:val="333333"/>
                <w:spacing w:val="0"/>
                <w:sz w:val="19"/>
                <w:szCs w:val="19"/>
                <w:shd w:val="clear" w:color="auto" w:fill="auto"/>
                <w:lang w:val="en-US" w:eastAsia="zh-CN"/>
              </w:rPr>
            </w:pPr>
            <w:r>
              <w:rPr>
                <w:rFonts w:hint="eastAsia" w:ascii="Helvetica" w:hAnsi="Helvetica" w:eastAsia="Helvetica" w:cs="Helvetica"/>
                <w:i w:val="0"/>
                <w:iCs w:val="0"/>
                <w:caps w:val="0"/>
                <w:color w:val="333333"/>
                <w:spacing w:val="0"/>
                <w:sz w:val="19"/>
                <w:szCs w:val="19"/>
                <w:shd w:val="clear" w:color="auto" w:fill="auto"/>
                <w:lang w:val="en-US" w:eastAsia="zh-CN"/>
              </w:rPr>
              <w:t>指标：对减少硬件能耗支出，实现节能减排的影响程度</w:t>
            </w:r>
          </w:p>
        </w:tc>
        <w:tc>
          <w:tcPr>
            <w:tcW w:w="4228" w:type="dxa"/>
            <w:gridSpan w:val="2"/>
            <w:tcBorders>
              <w:tl2br w:val="nil"/>
              <w:tr2bl w:val="nil"/>
            </w:tcBorders>
            <w:vAlign w:val="center"/>
          </w:tcPr>
          <w:p>
            <w:pPr>
              <w:jc w:val="center"/>
              <w:rPr>
                <w:rFonts w:ascii="Helvetica" w:hAnsi="Helvetica" w:eastAsia="Helvetica" w:cs="Helvetica"/>
                <w:i w:val="0"/>
                <w:iCs w:val="0"/>
                <w:caps w:val="0"/>
                <w:color w:val="333333"/>
                <w:spacing w:val="0"/>
                <w:sz w:val="19"/>
                <w:szCs w:val="19"/>
                <w:shd w:val="clear" w:color="auto" w:fill="auto"/>
              </w:rPr>
            </w:pPr>
            <w:r>
              <w:rPr>
                <w:rFonts w:ascii="Helvetica" w:hAnsi="Helvetica" w:eastAsia="Helvetica" w:cs="Helvetica"/>
                <w:i w:val="0"/>
                <w:iCs w:val="0"/>
                <w:caps w:val="0"/>
                <w:color w:val="333333"/>
                <w:spacing w:val="0"/>
                <w:sz w:val="19"/>
                <w:szCs w:val="19"/>
                <w:shd w:val="clear" w:color="auto" w:fill="auto"/>
              </w:rPr>
              <w:t>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continue"/>
            <w:tcBorders>
              <w:tl2br w:val="nil"/>
              <w:tr2bl w:val="nil"/>
            </w:tcBorders>
            <w:vAlign w:val="center"/>
          </w:tcPr>
          <w:p>
            <w:pPr>
              <w:jc w:val="center"/>
              <w:rPr>
                <w:rFonts w:ascii="宋体" w:cs="宋体"/>
                <w:sz w:val="20"/>
              </w:rPr>
            </w:pPr>
          </w:p>
        </w:tc>
        <w:tc>
          <w:tcPr>
            <w:tcW w:w="2872" w:type="dxa"/>
            <w:tcBorders>
              <w:tl2br w:val="nil"/>
              <w:tr2bl w:val="nil"/>
            </w:tcBorders>
            <w:vAlign w:val="center"/>
          </w:tcPr>
          <w:p>
            <w:pPr>
              <w:jc w:val="left"/>
              <w:rPr>
                <w:rFonts w:ascii="Helvetica" w:hAnsi="Helvetica" w:eastAsia="Helvetica" w:cs="Helvetica"/>
                <w:i w:val="0"/>
                <w:iCs w:val="0"/>
                <w:caps w:val="0"/>
                <w:color w:val="333333"/>
                <w:spacing w:val="0"/>
                <w:sz w:val="19"/>
                <w:szCs w:val="19"/>
                <w:shd w:val="clear" w:color="auto" w:fill="auto"/>
                <w:lang w:val="en-US" w:eastAsia="zh-CN"/>
              </w:rPr>
            </w:pPr>
            <w:r>
              <w:rPr>
                <w:rFonts w:hint="eastAsia" w:ascii="Helvetica" w:hAnsi="Helvetica" w:eastAsia="Helvetica" w:cs="Helvetica"/>
                <w:i w:val="0"/>
                <w:iCs w:val="0"/>
                <w:caps w:val="0"/>
                <w:color w:val="333333"/>
                <w:spacing w:val="0"/>
                <w:sz w:val="19"/>
                <w:szCs w:val="19"/>
                <w:shd w:val="clear" w:color="auto" w:fill="auto"/>
                <w:lang w:val="en-US" w:eastAsia="zh-CN"/>
              </w:rPr>
              <w:t>指标：12329客服项目对群众跑腿节能减排的影响程度</w:t>
            </w:r>
          </w:p>
        </w:tc>
        <w:tc>
          <w:tcPr>
            <w:tcW w:w="4228" w:type="dxa"/>
            <w:gridSpan w:val="2"/>
            <w:tcBorders>
              <w:tl2br w:val="nil"/>
              <w:tr2bl w:val="nil"/>
            </w:tcBorders>
            <w:vAlign w:val="center"/>
          </w:tcPr>
          <w:p>
            <w:pPr>
              <w:jc w:val="center"/>
              <w:rPr>
                <w:rFonts w:ascii="Helvetica" w:hAnsi="Helvetica" w:eastAsia="Helvetica" w:cs="Helvetica"/>
                <w:i w:val="0"/>
                <w:iCs w:val="0"/>
                <w:caps w:val="0"/>
                <w:color w:val="333333"/>
                <w:spacing w:val="0"/>
                <w:sz w:val="19"/>
                <w:szCs w:val="19"/>
                <w:shd w:val="clear" w:color="auto" w:fill="auto"/>
              </w:rPr>
            </w:pPr>
            <w:r>
              <w:rPr>
                <w:rFonts w:ascii="Helvetica" w:hAnsi="Helvetica" w:eastAsia="Helvetica" w:cs="Helvetica"/>
                <w:i w:val="0"/>
                <w:iCs w:val="0"/>
                <w:caps w:val="0"/>
                <w:color w:val="333333"/>
                <w:spacing w:val="0"/>
                <w:sz w:val="19"/>
                <w:szCs w:val="19"/>
                <w:shd w:val="clear" w:color="auto" w:fill="auto"/>
              </w:rPr>
              <w:t>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restart"/>
            <w:tcBorders>
              <w:tl2br w:val="nil"/>
              <w:tr2bl w:val="nil"/>
            </w:tcBorders>
            <w:vAlign w:val="center"/>
          </w:tcPr>
          <w:p>
            <w:pPr>
              <w:widowControl/>
              <w:spacing w:line="200" w:lineRule="exact"/>
              <w:jc w:val="center"/>
              <w:rPr>
                <w:rFonts w:ascii="宋体" w:hAnsi="宋体" w:eastAsia="宋体" w:cs="宋体"/>
                <w:sz w:val="20"/>
              </w:rPr>
            </w:pPr>
            <w:r>
              <w:rPr>
                <w:rFonts w:hint="eastAsia" w:ascii="宋体" w:hAnsi="宋体" w:eastAsia="宋体" w:cs="宋体"/>
                <w:sz w:val="20"/>
              </w:rPr>
              <w:t>可持续影响指标</w:t>
            </w:r>
          </w:p>
        </w:tc>
        <w:tc>
          <w:tcPr>
            <w:tcW w:w="2872" w:type="dxa"/>
            <w:tcBorders>
              <w:tl2br w:val="nil"/>
              <w:tr2bl w:val="nil"/>
            </w:tcBorders>
            <w:vAlign w:val="center"/>
          </w:tcPr>
          <w:p>
            <w:pPr>
              <w:jc w:val="left"/>
              <w:rPr>
                <w:rFonts w:ascii="Helvetica" w:hAnsi="Helvetica" w:eastAsia="Helvetica" w:cs="Helvetica"/>
                <w:i w:val="0"/>
                <w:iCs w:val="0"/>
                <w:caps w:val="0"/>
                <w:color w:val="333333"/>
                <w:spacing w:val="0"/>
                <w:sz w:val="19"/>
                <w:szCs w:val="19"/>
                <w:shd w:val="clear" w:color="auto" w:fill="auto"/>
              </w:rPr>
            </w:pPr>
            <w:r>
              <w:rPr>
                <w:rFonts w:hint="eastAsia" w:ascii="Helvetica" w:hAnsi="Helvetica" w:eastAsia="Helvetica" w:cs="Helvetica"/>
                <w:i w:val="0"/>
                <w:iCs w:val="0"/>
                <w:caps w:val="0"/>
                <w:color w:val="333333"/>
                <w:spacing w:val="0"/>
                <w:sz w:val="19"/>
                <w:szCs w:val="19"/>
                <w:shd w:val="clear" w:color="auto" w:fill="auto"/>
              </w:rPr>
              <w:t>指标：</w:t>
            </w:r>
            <w:r>
              <w:rPr>
                <w:rFonts w:ascii="Helvetica" w:hAnsi="Helvetica" w:eastAsia="Helvetica" w:cs="Helvetica"/>
                <w:i w:val="0"/>
                <w:iCs w:val="0"/>
                <w:caps w:val="0"/>
                <w:color w:val="333333"/>
                <w:spacing w:val="0"/>
                <w:sz w:val="19"/>
                <w:szCs w:val="19"/>
                <w:shd w:val="clear" w:color="auto" w:fill="auto"/>
              </w:rPr>
              <w:t>对保障机构持续稳定运转、持续发挥职能的改善或提升程度</w:t>
            </w:r>
          </w:p>
        </w:tc>
        <w:tc>
          <w:tcPr>
            <w:tcW w:w="4228" w:type="dxa"/>
            <w:gridSpan w:val="2"/>
            <w:tcBorders>
              <w:tl2br w:val="nil"/>
              <w:tr2bl w:val="nil"/>
            </w:tcBorders>
            <w:vAlign w:val="center"/>
          </w:tcPr>
          <w:p>
            <w:pPr>
              <w:jc w:val="center"/>
              <w:rPr>
                <w:rFonts w:ascii="Helvetica" w:hAnsi="Helvetica" w:eastAsia="Helvetica" w:cs="Helvetica"/>
                <w:i w:val="0"/>
                <w:iCs w:val="0"/>
                <w:caps w:val="0"/>
                <w:color w:val="333333"/>
                <w:spacing w:val="0"/>
                <w:sz w:val="19"/>
                <w:szCs w:val="19"/>
                <w:shd w:val="clear" w:color="auto" w:fill="auto"/>
              </w:rPr>
            </w:pPr>
            <w:r>
              <w:rPr>
                <w:rFonts w:ascii="Helvetica" w:hAnsi="Helvetica" w:eastAsia="Helvetica" w:cs="Helvetica"/>
                <w:i w:val="0"/>
                <w:iCs w:val="0"/>
                <w:caps w:val="0"/>
                <w:color w:val="333333"/>
                <w:spacing w:val="0"/>
                <w:sz w:val="19"/>
                <w:szCs w:val="19"/>
                <w:shd w:val="clear" w:color="auto" w:fill="auto"/>
              </w:rPr>
              <w:t>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continue"/>
            <w:tcBorders>
              <w:tl2br w:val="nil"/>
              <w:tr2bl w:val="nil"/>
            </w:tcBorders>
            <w:vAlign w:val="center"/>
          </w:tcPr>
          <w:p>
            <w:pPr>
              <w:jc w:val="center"/>
              <w:rPr>
                <w:rFonts w:ascii="宋体" w:hAnsi="宋体" w:eastAsia="宋体" w:cs="宋体"/>
                <w:sz w:val="20"/>
              </w:rPr>
            </w:pPr>
          </w:p>
        </w:tc>
        <w:tc>
          <w:tcPr>
            <w:tcW w:w="2872" w:type="dxa"/>
            <w:tcBorders>
              <w:tl2br w:val="nil"/>
              <w:tr2bl w:val="nil"/>
            </w:tcBorders>
            <w:vAlign w:val="center"/>
          </w:tcPr>
          <w:p>
            <w:pPr>
              <w:jc w:val="left"/>
              <w:rPr>
                <w:rFonts w:ascii="Helvetica" w:hAnsi="Helvetica" w:eastAsia="Helvetica" w:cs="Helvetica"/>
                <w:i w:val="0"/>
                <w:iCs w:val="0"/>
                <w:caps w:val="0"/>
                <w:color w:val="333333"/>
                <w:spacing w:val="0"/>
                <w:sz w:val="19"/>
                <w:szCs w:val="19"/>
                <w:shd w:val="clear" w:color="auto" w:fill="auto"/>
              </w:rPr>
            </w:pPr>
            <w:r>
              <w:rPr>
                <w:rFonts w:hint="eastAsia" w:ascii="Helvetica" w:hAnsi="Helvetica" w:eastAsia="Helvetica" w:cs="Helvetica"/>
                <w:i w:val="0"/>
                <w:iCs w:val="0"/>
                <w:caps w:val="0"/>
                <w:color w:val="333333"/>
                <w:spacing w:val="0"/>
                <w:sz w:val="19"/>
                <w:szCs w:val="19"/>
                <w:shd w:val="clear" w:color="auto" w:fill="auto"/>
              </w:rPr>
              <w:t>指标</w:t>
            </w:r>
            <w:r>
              <w:rPr>
                <w:rFonts w:hint="eastAsia" w:ascii="Helvetica" w:hAnsi="Helvetica" w:eastAsia="Helvetica" w:cs="Helvetica"/>
                <w:i w:val="0"/>
                <w:iCs w:val="0"/>
                <w:caps w:val="0"/>
                <w:color w:val="333333"/>
                <w:spacing w:val="0"/>
                <w:sz w:val="19"/>
                <w:szCs w:val="19"/>
                <w:shd w:val="clear" w:color="auto" w:fill="auto"/>
                <w:lang w:eastAsia="zh-CN"/>
              </w:rPr>
              <w:t>：</w:t>
            </w:r>
            <w:r>
              <w:rPr>
                <w:rFonts w:ascii="Helvetica" w:hAnsi="Helvetica" w:eastAsia="Helvetica" w:cs="Helvetica"/>
                <w:i w:val="0"/>
                <w:iCs w:val="0"/>
                <w:caps w:val="0"/>
                <w:color w:val="333333"/>
                <w:spacing w:val="0"/>
                <w:sz w:val="19"/>
                <w:szCs w:val="19"/>
                <w:shd w:val="clear" w:color="auto" w:fill="auto"/>
              </w:rPr>
              <w:t>对信息系统后续可用性及稳定性的持续影响程度</w:t>
            </w:r>
          </w:p>
        </w:tc>
        <w:tc>
          <w:tcPr>
            <w:tcW w:w="4228" w:type="dxa"/>
            <w:gridSpan w:val="2"/>
            <w:tcBorders>
              <w:tl2br w:val="nil"/>
              <w:tr2bl w:val="nil"/>
            </w:tcBorders>
            <w:vAlign w:val="center"/>
          </w:tcPr>
          <w:p>
            <w:pPr>
              <w:jc w:val="center"/>
              <w:rPr>
                <w:rFonts w:ascii="Helvetica" w:hAnsi="Helvetica" w:eastAsia="Helvetica" w:cs="Helvetica"/>
                <w:i w:val="0"/>
                <w:iCs w:val="0"/>
                <w:caps w:val="0"/>
                <w:color w:val="333333"/>
                <w:spacing w:val="0"/>
                <w:sz w:val="19"/>
                <w:szCs w:val="19"/>
                <w:shd w:val="clear" w:color="auto" w:fill="auto"/>
              </w:rPr>
            </w:pPr>
            <w:r>
              <w:rPr>
                <w:rFonts w:ascii="Helvetica" w:hAnsi="Helvetica" w:eastAsia="Helvetica" w:cs="Helvetica"/>
                <w:i w:val="0"/>
                <w:iCs w:val="0"/>
                <w:caps w:val="0"/>
                <w:color w:val="333333"/>
                <w:spacing w:val="0"/>
                <w:sz w:val="19"/>
                <w:szCs w:val="19"/>
                <w:shd w:val="clear" w:color="auto" w:fill="auto"/>
              </w:rPr>
              <w:t>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restart"/>
            <w:tcBorders>
              <w:tl2br w:val="nil"/>
              <w:tr2bl w:val="nil"/>
            </w:tcBorders>
            <w:vAlign w:val="center"/>
          </w:tcPr>
          <w:p>
            <w:pPr>
              <w:widowControl/>
              <w:spacing w:line="200" w:lineRule="exact"/>
              <w:jc w:val="center"/>
              <w:rPr>
                <w:rFonts w:ascii="宋体" w:hAnsi="宋体" w:eastAsia="宋体" w:cs="宋体"/>
                <w:sz w:val="20"/>
              </w:rPr>
            </w:pPr>
            <w:r>
              <w:rPr>
                <w:rFonts w:hint="eastAsia" w:ascii="宋体" w:hAnsi="宋体" w:eastAsia="宋体" w:cs="宋体"/>
                <w:sz w:val="20"/>
              </w:rPr>
              <w:t>满意度指标</w:t>
            </w:r>
          </w:p>
        </w:tc>
        <w:tc>
          <w:tcPr>
            <w:tcW w:w="759" w:type="dxa"/>
            <w:gridSpan w:val="2"/>
            <w:vMerge w:val="restart"/>
            <w:tcBorders>
              <w:tl2br w:val="nil"/>
              <w:tr2bl w:val="nil"/>
            </w:tcBorders>
            <w:vAlign w:val="center"/>
          </w:tcPr>
          <w:p>
            <w:pPr>
              <w:widowControl/>
              <w:spacing w:line="200" w:lineRule="exact"/>
              <w:jc w:val="center"/>
              <w:rPr>
                <w:rFonts w:ascii="宋体" w:hAnsi="宋体" w:eastAsia="宋体" w:cs="宋体"/>
                <w:sz w:val="20"/>
              </w:rPr>
            </w:pPr>
            <w:r>
              <w:rPr>
                <w:rFonts w:hint="eastAsia" w:ascii="宋体" w:hAnsi="宋体" w:eastAsia="宋体" w:cs="宋体"/>
                <w:sz w:val="20"/>
              </w:rPr>
              <w:t>满意度指标</w:t>
            </w:r>
          </w:p>
        </w:tc>
        <w:tc>
          <w:tcPr>
            <w:tcW w:w="2872" w:type="dxa"/>
            <w:tcBorders>
              <w:tl2br w:val="nil"/>
              <w:tr2bl w:val="nil"/>
            </w:tcBorders>
            <w:vAlign w:val="center"/>
          </w:tcPr>
          <w:p>
            <w:pPr>
              <w:jc w:val="left"/>
              <w:rPr>
                <w:rFonts w:ascii="Helvetica" w:hAnsi="Helvetica" w:eastAsia="Helvetica" w:cs="Helvetica"/>
                <w:i w:val="0"/>
                <w:iCs w:val="0"/>
                <w:caps w:val="0"/>
                <w:color w:val="333333"/>
                <w:spacing w:val="0"/>
                <w:sz w:val="19"/>
                <w:szCs w:val="19"/>
                <w:shd w:val="clear" w:color="auto" w:fill="auto"/>
              </w:rPr>
            </w:pPr>
            <w:r>
              <w:rPr>
                <w:rFonts w:hint="eastAsia" w:ascii="Helvetica" w:hAnsi="Helvetica" w:eastAsia="Helvetica" w:cs="Helvetica"/>
                <w:i w:val="0"/>
                <w:iCs w:val="0"/>
                <w:caps w:val="0"/>
                <w:color w:val="333333"/>
                <w:spacing w:val="0"/>
                <w:sz w:val="19"/>
                <w:szCs w:val="19"/>
                <w:shd w:val="clear" w:color="auto" w:fill="auto"/>
              </w:rPr>
              <w:t>指标：</w:t>
            </w:r>
            <w:r>
              <w:rPr>
                <w:rFonts w:ascii="Helvetica" w:hAnsi="Helvetica" w:eastAsia="Helvetica" w:cs="Helvetica"/>
                <w:i w:val="0"/>
                <w:iCs w:val="0"/>
                <w:caps w:val="0"/>
                <w:color w:val="333333"/>
                <w:spacing w:val="0"/>
                <w:sz w:val="19"/>
                <w:szCs w:val="19"/>
                <w:shd w:val="clear" w:color="auto" w:fill="auto"/>
              </w:rPr>
              <w:t>服务对象满意度</w:t>
            </w:r>
          </w:p>
        </w:tc>
        <w:tc>
          <w:tcPr>
            <w:tcW w:w="4228" w:type="dxa"/>
            <w:gridSpan w:val="2"/>
            <w:tcBorders>
              <w:tl2br w:val="nil"/>
              <w:tr2bl w:val="nil"/>
            </w:tcBorders>
            <w:vAlign w:val="center"/>
          </w:tcPr>
          <w:p>
            <w:pPr>
              <w:jc w:val="center"/>
              <w:rPr>
                <w:rFonts w:hint="default" w:ascii="Helvetica" w:hAnsi="Helvetica" w:eastAsia="Helvetica" w:cs="Helvetica"/>
                <w:i w:val="0"/>
                <w:iCs w:val="0"/>
                <w:caps w:val="0"/>
                <w:color w:val="333333"/>
                <w:spacing w:val="0"/>
                <w:sz w:val="19"/>
                <w:szCs w:val="19"/>
                <w:shd w:val="clear" w:color="auto" w:fill="auto"/>
                <w:lang w:val="en-US" w:eastAsia="zh-CN"/>
              </w:rPr>
            </w:pPr>
            <w:r>
              <w:rPr>
                <w:rFonts w:hint="eastAsia" w:ascii="Helvetica" w:hAnsi="Helvetica" w:eastAsia="Helvetica" w:cs="Helvetica"/>
                <w:i w:val="0"/>
                <w:iCs w:val="0"/>
                <w:caps w:val="0"/>
                <w:color w:val="333333"/>
                <w:spacing w:val="0"/>
                <w:sz w:val="19"/>
                <w:szCs w:val="19"/>
                <w:shd w:val="clear" w:color="auto" w:fill="auto"/>
              </w:rPr>
              <w:t>≥</w:t>
            </w:r>
            <w:r>
              <w:rPr>
                <w:rFonts w:hint="default" w:ascii="Helvetica" w:hAnsi="Helvetica" w:eastAsia="Helvetica" w:cs="Helvetica"/>
                <w:i w:val="0"/>
                <w:iCs w:val="0"/>
                <w:caps w:val="0"/>
                <w:color w:val="333333"/>
                <w:spacing w:val="0"/>
                <w:sz w:val="19"/>
                <w:szCs w:val="19"/>
                <w:shd w:val="clear" w:color="auto" w:fill="auto"/>
                <w:lang w:val="en-US"/>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hAnsi="宋体" w:eastAsia="宋体" w:cs="宋体"/>
                <w:sz w:val="20"/>
              </w:rPr>
            </w:pPr>
          </w:p>
        </w:tc>
        <w:tc>
          <w:tcPr>
            <w:tcW w:w="759" w:type="dxa"/>
            <w:gridSpan w:val="2"/>
            <w:vMerge w:val="continue"/>
            <w:tcBorders>
              <w:tl2br w:val="nil"/>
              <w:tr2bl w:val="nil"/>
            </w:tcBorders>
            <w:vAlign w:val="center"/>
          </w:tcPr>
          <w:p>
            <w:pPr>
              <w:jc w:val="center"/>
              <w:rPr>
                <w:rFonts w:ascii="宋体" w:hAnsi="宋体" w:eastAsia="宋体" w:cs="宋体"/>
                <w:sz w:val="20"/>
              </w:rPr>
            </w:pPr>
          </w:p>
        </w:tc>
        <w:tc>
          <w:tcPr>
            <w:tcW w:w="2872" w:type="dxa"/>
            <w:tcBorders>
              <w:tl2br w:val="nil"/>
              <w:tr2bl w:val="nil"/>
            </w:tcBorders>
            <w:vAlign w:val="center"/>
          </w:tcPr>
          <w:p>
            <w:pPr>
              <w:jc w:val="left"/>
              <w:rPr>
                <w:rFonts w:ascii="Helvetica" w:hAnsi="Helvetica" w:eastAsia="Helvetica" w:cs="Helvetica"/>
                <w:i w:val="0"/>
                <w:iCs w:val="0"/>
                <w:caps w:val="0"/>
                <w:color w:val="333333"/>
                <w:spacing w:val="0"/>
                <w:sz w:val="19"/>
                <w:szCs w:val="19"/>
                <w:shd w:val="clear" w:color="auto" w:fill="auto"/>
              </w:rPr>
            </w:pPr>
            <w:r>
              <w:rPr>
                <w:rFonts w:hint="eastAsia" w:ascii="Helvetica" w:hAnsi="Helvetica" w:eastAsia="Helvetica" w:cs="Helvetica"/>
                <w:i w:val="0"/>
                <w:iCs w:val="0"/>
                <w:caps w:val="0"/>
                <w:color w:val="333333"/>
                <w:spacing w:val="0"/>
                <w:sz w:val="19"/>
                <w:szCs w:val="19"/>
                <w:shd w:val="clear" w:color="auto" w:fill="auto"/>
              </w:rPr>
              <w:t>指标</w:t>
            </w:r>
            <w:r>
              <w:rPr>
                <w:rFonts w:hint="eastAsia" w:ascii="Helvetica" w:hAnsi="Helvetica" w:eastAsia="Helvetica" w:cs="Helvetica"/>
                <w:i w:val="0"/>
                <w:iCs w:val="0"/>
                <w:caps w:val="0"/>
                <w:color w:val="333333"/>
                <w:spacing w:val="0"/>
                <w:sz w:val="19"/>
                <w:szCs w:val="19"/>
                <w:shd w:val="clear" w:color="auto" w:fill="auto"/>
                <w:lang w:eastAsia="zh-CN"/>
              </w:rPr>
              <w:t>：</w:t>
            </w:r>
            <w:r>
              <w:rPr>
                <w:rFonts w:ascii="Helvetica" w:hAnsi="Helvetica" w:eastAsia="Helvetica" w:cs="Helvetica"/>
                <w:i w:val="0"/>
                <w:iCs w:val="0"/>
                <w:caps w:val="0"/>
                <w:color w:val="333333"/>
                <w:spacing w:val="0"/>
                <w:sz w:val="19"/>
                <w:szCs w:val="19"/>
                <w:shd w:val="clear" w:color="auto" w:fill="auto"/>
              </w:rPr>
              <w:t>12329客服满意度</w:t>
            </w:r>
          </w:p>
        </w:tc>
        <w:tc>
          <w:tcPr>
            <w:tcW w:w="4228" w:type="dxa"/>
            <w:gridSpan w:val="2"/>
            <w:tcBorders>
              <w:tl2br w:val="nil"/>
              <w:tr2bl w:val="nil"/>
            </w:tcBorders>
            <w:vAlign w:val="center"/>
          </w:tcPr>
          <w:p>
            <w:pPr>
              <w:jc w:val="center"/>
              <w:rPr>
                <w:rFonts w:hint="default" w:ascii="Helvetica" w:hAnsi="Helvetica" w:eastAsia="Helvetica" w:cs="Helvetica"/>
                <w:i w:val="0"/>
                <w:iCs w:val="0"/>
                <w:caps w:val="0"/>
                <w:color w:val="333333"/>
                <w:spacing w:val="0"/>
                <w:sz w:val="19"/>
                <w:szCs w:val="19"/>
                <w:shd w:val="clear" w:color="auto" w:fill="auto"/>
                <w:lang w:val="en-US" w:eastAsia="zh-CN"/>
              </w:rPr>
            </w:pPr>
            <w:r>
              <w:rPr>
                <w:rFonts w:hint="eastAsia" w:ascii="Helvetica" w:hAnsi="Helvetica" w:eastAsia="Helvetica" w:cs="Helvetica"/>
                <w:i w:val="0"/>
                <w:iCs w:val="0"/>
                <w:caps w:val="0"/>
                <w:color w:val="333333"/>
                <w:spacing w:val="0"/>
                <w:sz w:val="19"/>
                <w:szCs w:val="19"/>
                <w:shd w:val="clear" w:color="auto" w:fill="auto"/>
              </w:rPr>
              <w:t>≥</w:t>
            </w:r>
            <w:r>
              <w:rPr>
                <w:rFonts w:hint="default" w:ascii="Helvetica" w:hAnsi="Helvetica" w:eastAsia="Helvetica" w:cs="Helvetica"/>
                <w:i w:val="0"/>
                <w:iCs w:val="0"/>
                <w:caps w:val="0"/>
                <w:color w:val="333333"/>
                <w:spacing w:val="0"/>
                <w:sz w:val="19"/>
                <w:szCs w:val="19"/>
                <w:shd w:val="clear" w:color="auto" w:fill="auto"/>
                <w:lang w:val="en-US"/>
              </w:rPr>
              <w:t>95%</w:t>
            </w:r>
          </w:p>
        </w:tc>
      </w:tr>
    </w:tbl>
    <w:p>
      <w:pPr>
        <w:ind w:firstLine="420" w:firstLineChars="200"/>
      </w:pPr>
    </w:p>
    <w:p>
      <w:pPr>
        <w:ind w:firstLine="640" w:firstLineChars="200"/>
        <w:rPr>
          <w:rFonts w:ascii="TimesNewRoman" w:hAnsi="TimesNewRoman" w:eastAsia="仿宋_GB2312" w:cs="TimesNewRoman"/>
          <w:kern w:val="0"/>
          <w:sz w:val="32"/>
          <w:szCs w:val="32"/>
        </w:rPr>
      </w:pPr>
      <w:r>
        <w:rPr>
          <w:rFonts w:hint="default" w:ascii="TimesNewRoman" w:hAnsi="TimesNewRoman" w:eastAsia="仿宋_GB2312" w:cs="TimesNewRoman"/>
          <w:kern w:val="0"/>
          <w:sz w:val="32"/>
          <w:szCs w:val="32"/>
          <w:lang w:val="en-US"/>
        </w:rPr>
        <w:t>6</w:t>
      </w:r>
      <w:r>
        <w:rPr>
          <w:rFonts w:hint="eastAsia" w:ascii="TimesNewRoman" w:hAnsi="TimesNewRoman" w:eastAsia="仿宋_GB2312" w:cs="TimesNewRoman"/>
          <w:kern w:val="0"/>
          <w:sz w:val="32"/>
          <w:szCs w:val="32"/>
        </w:rPr>
        <w:t>、“</w:t>
      </w:r>
      <w:r>
        <w:rPr>
          <w:rFonts w:hint="eastAsia" w:ascii="TimesNewRoman" w:hAnsi="TimesNewRoman" w:eastAsia="仿宋_GB2312" w:cs="TimesNewRoman"/>
          <w:kern w:val="0"/>
          <w:sz w:val="32"/>
          <w:szCs w:val="32"/>
          <w:lang w:val="en-US" w:eastAsia="zh-CN"/>
        </w:rPr>
        <w:t>公积金网络线路租用</w:t>
      </w:r>
      <w:r>
        <w:rPr>
          <w:rFonts w:hint="eastAsia" w:ascii="TimesNewRoman" w:hAnsi="TimesNewRoman" w:eastAsia="仿宋_GB2312" w:cs="TimesNewRoman"/>
          <w:kern w:val="0"/>
          <w:sz w:val="32"/>
          <w:szCs w:val="32"/>
        </w:rPr>
        <w:t>”项目。</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（1）项目概述。为更好地保障中心系统运行，需对中心信息系统线路进行租用。</w:t>
      </w:r>
    </w:p>
    <w:p>
      <w:pPr>
        <w:pStyle w:val="5"/>
        <w:keepNext w:val="0"/>
        <w:keepLines w:val="0"/>
        <w:pageBreakBefore w:val="0"/>
        <w:kinsoku/>
        <w:wordWrap/>
        <w:overflowPunct/>
        <w:topLinePunct w:val="0"/>
        <w:autoSpaceDE/>
        <w:autoSpaceDN/>
        <w:bidi w:val="0"/>
        <w:adjustRightInd/>
        <w:snapToGrid/>
        <w:spacing w:before="0" w:beforeAutospacing="0" w:after="0" w:afterAutospacing="0" w:line="570" w:lineRule="exact"/>
        <w:ind w:left="0" w:leftChars="0"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TimesNewRoman" w:hAnsi="TimesNewRoman" w:eastAsia="仿宋_GB2312" w:cs="TimesNewRoman"/>
          <w:kern w:val="0"/>
          <w:sz w:val="32"/>
          <w:szCs w:val="32"/>
        </w:rPr>
        <w:t>（2）立项依据。</w:t>
      </w:r>
      <w:r>
        <w:rPr>
          <w:rFonts w:hint="eastAsia" w:ascii="仿宋_GB2312" w:hAnsi="仿宋_GB2312" w:eastAsia="仿宋_GB2312" w:cs="仿宋_GB2312"/>
          <w:sz w:val="32"/>
          <w:szCs w:val="32"/>
          <w:lang w:val="en-US" w:eastAsia="zh-CN"/>
        </w:rPr>
        <w:t>线路租用是淮北公积金长期投入项目，是保证公积金服务运转和网络安全运维的基本条件。</w:t>
      </w:r>
    </w:p>
    <w:p>
      <w:pPr>
        <w:ind w:firstLine="640" w:firstLineChars="200"/>
        <w:rPr>
          <w:rFonts w:hint="eastAsia" w:ascii="TimesNewRoman" w:hAnsi="TimesNewRoman" w:eastAsia="仿宋_GB2312" w:cs="TimesNewRoman"/>
          <w:kern w:val="0"/>
          <w:sz w:val="32"/>
          <w:szCs w:val="32"/>
          <w:lang w:eastAsia="zh-CN"/>
        </w:rPr>
      </w:pPr>
      <w:r>
        <w:rPr>
          <w:rFonts w:hint="eastAsia" w:ascii="TimesNewRoman" w:hAnsi="TimesNewRoman" w:eastAsia="仿宋_GB2312" w:cs="TimesNewRoman"/>
          <w:kern w:val="0"/>
          <w:sz w:val="32"/>
          <w:szCs w:val="32"/>
        </w:rPr>
        <w:t>（3）实施主体</w:t>
      </w:r>
      <w:r>
        <w:rPr>
          <w:rFonts w:hint="eastAsia" w:ascii="TimesNewRoman" w:hAnsi="TimesNewRoman" w:eastAsia="仿宋_GB2312" w:cs="TimesNewRoman"/>
          <w:kern w:val="0"/>
          <w:sz w:val="32"/>
          <w:szCs w:val="32"/>
          <w:lang w:eastAsia="zh-CN"/>
        </w:rPr>
        <w:t>：</w:t>
      </w:r>
      <w:r>
        <w:rPr>
          <w:rFonts w:hint="eastAsia" w:ascii="TimesNewRoman" w:hAnsi="TimesNewRoman" w:eastAsia="仿宋_GB2312" w:cs="TimesNewRoman"/>
          <w:kern w:val="0"/>
          <w:sz w:val="32"/>
          <w:szCs w:val="32"/>
          <w:lang w:val="en-US" w:eastAsia="zh-CN"/>
        </w:rPr>
        <w:t>淮北市住房公积金管理中心</w:t>
      </w:r>
    </w:p>
    <w:p>
      <w:pPr>
        <w:ind w:firstLine="640" w:firstLineChars="200"/>
        <w:rPr>
          <w:rFonts w:hint="default" w:ascii="TimesNewRoman" w:hAnsi="TimesNewRoman" w:eastAsia="仿宋_GB2312" w:cs="TimesNewRoman"/>
          <w:kern w:val="0"/>
          <w:sz w:val="32"/>
          <w:szCs w:val="32"/>
          <w:lang w:val="en-US" w:eastAsia="zh-CN"/>
        </w:rPr>
      </w:pPr>
      <w:r>
        <w:rPr>
          <w:rFonts w:hint="eastAsia" w:ascii="TimesNewRoman" w:hAnsi="TimesNewRoman" w:eastAsia="仿宋_GB2312" w:cs="TimesNewRoman"/>
          <w:kern w:val="0"/>
          <w:sz w:val="32"/>
          <w:szCs w:val="32"/>
        </w:rPr>
        <w:t>（4）起止时间</w:t>
      </w:r>
      <w:r>
        <w:rPr>
          <w:rFonts w:hint="eastAsia" w:ascii="TimesNewRoman" w:hAnsi="TimesNewRoman" w:eastAsia="仿宋_GB2312" w:cs="TimesNewRoman"/>
          <w:kern w:val="0"/>
          <w:sz w:val="32"/>
          <w:szCs w:val="32"/>
          <w:lang w:eastAsia="zh-CN"/>
        </w:rPr>
        <w:t>：</w:t>
      </w:r>
      <w:r>
        <w:rPr>
          <w:rFonts w:hint="default" w:ascii="TimesNewRoman" w:hAnsi="TimesNewRoman" w:eastAsia="仿宋_GB2312" w:cs="TimesNewRoman"/>
          <w:kern w:val="0"/>
          <w:sz w:val="32"/>
          <w:szCs w:val="32"/>
          <w:lang w:val="en-US"/>
        </w:rPr>
        <w:t>2024</w:t>
      </w:r>
      <w:r>
        <w:rPr>
          <w:rFonts w:hint="eastAsia" w:ascii="TimesNewRoman" w:hAnsi="TimesNewRoman" w:eastAsia="仿宋_GB2312" w:cs="TimesNewRoman"/>
          <w:kern w:val="0"/>
          <w:sz w:val="32"/>
          <w:szCs w:val="32"/>
          <w:lang w:val="en-US" w:eastAsia="zh-CN"/>
        </w:rPr>
        <w:t>年</w:t>
      </w:r>
      <w:r>
        <w:rPr>
          <w:rFonts w:hint="default" w:ascii="TimesNewRoman" w:hAnsi="TimesNewRoman" w:eastAsia="仿宋_GB2312" w:cs="TimesNewRoman"/>
          <w:kern w:val="0"/>
          <w:sz w:val="32"/>
          <w:szCs w:val="32"/>
          <w:lang w:val="en-US" w:eastAsia="zh-CN"/>
        </w:rPr>
        <w:t>1~12</w:t>
      </w:r>
      <w:r>
        <w:rPr>
          <w:rFonts w:hint="eastAsia" w:ascii="TimesNewRoman" w:hAnsi="TimesNewRoman" w:eastAsia="仿宋_GB2312" w:cs="TimesNewRoman"/>
          <w:kern w:val="0"/>
          <w:sz w:val="32"/>
          <w:szCs w:val="32"/>
          <w:lang w:val="en-US" w:eastAsia="zh-CN"/>
        </w:rPr>
        <w:t>月</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（5）项目内容。包括：专线电路租用、互联网线路租用、征信线路租用、云备份空间租用、钉钉办公服务维护、12329线路租用费、12329短信费等。</w:t>
      </w:r>
    </w:p>
    <w:p>
      <w:pPr>
        <w:ind w:firstLine="640" w:firstLineChars="200"/>
        <w:rPr>
          <w:rFonts w:hint="eastAsia" w:ascii="TimesNewRoman" w:hAnsi="TimesNewRoman" w:eastAsia="仿宋_GB2312" w:cs="TimesNewRoman"/>
          <w:kern w:val="0"/>
          <w:sz w:val="32"/>
          <w:szCs w:val="32"/>
          <w:lang w:val="en-US" w:eastAsia="zh-CN"/>
        </w:rPr>
      </w:pPr>
      <w:r>
        <w:rPr>
          <w:rFonts w:hint="eastAsia" w:ascii="TimesNewRoman" w:hAnsi="TimesNewRoman" w:eastAsia="仿宋_GB2312" w:cs="TimesNewRoman"/>
          <w:kern w:val="0"/>
          <w:sz w:val="32"/>
          <w:szCs w:val="32"/>
        </w:rPr>
        <w:t>（6）年度预算安排128</w:t>
      </w:r>
      <w:r>
        <w:rPr>
          <w:rFonts w:hint="default" w:ascii="TimesNewRoman" w:hAnsi="TimesNewRoman" w:eastAsia="仿宋_GB2312" w:cs="TimesNewRoman"/>
          <w:kern w:val="0"/>
          <w:sz w:val="32"/>
          <w:szCs w:val="32"/>
          <w:lang w:val="en-US"/>
        </w:rPr>
        <w:t>.</w:t>
      </w:r>
      <w:r>
        <w:rPr>
          <w:rFonts w:hint="eastAsia" w:ascii="TimesNewRoman" w:hAnsi="TimesNewRoman" w:eastAsia="仿宋_GB2312" w:cs="TimesNewRoman"/>
          <w:kern w:val="0"/>
          <w:sz w:val="32"/>
          <w:szCs w:val="32"/>
        </w:rPr>
        <w:t>48</w:t>
      </w:r>
      <w:r>
        <w:rPr>
          <w:rFonts w:hint="eastAsia" w:ascii="TimesNewRoman" w:hAnsi="TimesNewRoman" w:eastAsia="仿宋_GB2312" w:cs="TimesNewRoman"/>
          <w:kern w:val="0"/>
          <w:sz w:val="32"/>
          <w:szCs w:val="32"/>
          <w:lang w:val="en-US" w:eastAsia="zh-CN"/>
        </w:rPr>
        <w:t>万元</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（7）绩效目标。</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723"/>
        <w:gridCol w:w="282"/>
        <w:gridCol w:w="477"/>
        <w:gridCol w:w="2872"/>
        <w:gridCol w:w="1848"/>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9020" w:type="dxa"/>
            <w:gridSpan w:val="7"/>
            <w:tcBorders>
              <w:top w:val="nil"/>
              <w:left w:val="nil"/>
              <w:bottom w:val="nil"/>
              <w:right w:val="nil"/>
            </w:tcBorders>
            <w:vAlign w:val="center"/>
          </w:tcPr>
          <w:p>
            <w:pPr>
              <w:widowControl/>
              <w:jc w:val="center"/>
              <w:textAlignment w:val="center"/>
              <w:rPr>
                <w:rFonts w:ascii="宋体" w:cs="宋体"/>
                <w:b/>
                <w:bCs/>
                <w:szCs w:val="32"/>
              </w:rPr>
            </w:pPr>
            <w:r>
              <w:rPr>
                <w:rFonts w:hint="eastAsia" w:ascii="宋体" w:hAnsi="宋体" w:eastAsia="宋体" w:cs="宋体"/>
                <w:b/>
                <w:color w:val="000000"/>
                <w:kern w:val="0"/>
                <w:sz w:val="28"/>
                <w:szCs w:val="28"/>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020" w:type="dxa"/>
            <w:gridSpan w:val="7"/>
            <w:tcBorders>
              <w:top w:val="nil"/>
              <w:left w:val="nil"/>
              <w:right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 xml:space="preserve"> （2024年度）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项目名称</w:t>
            </w:r>
          </w:p>
        </w:tc>
        <w:tc>
          <w:tcPr>
            <w:tcW w:w="7577" w:type="dxa"/>
            <w:gridSpan w:val="4"/>
            <w:tcBorders>
              <w:tl2br w:val="nil"/>
              <w:tr2bl w:val="nil"/>
            </w:tcBorders>
            <w:vAlign w:val="center"/>
          </w:tcPr>
          <w:p>
            <w:pPr>
              <w:jc w:val="center"/>
              <w:rPr>
                <w:rFonts w:ascii="宋体" w:cs="宋体"/>
                <w:sz w:val="20"/>
              </w:rPr>
            </w:pPr>
            <w:r>
              <w:rPr>
                <w:rFonts w:hint="eastAsia" w:ascii="宋体" w:cs="宋体"/>
                <w:sz w:val="20"/>
              </w:rPr>
              <w:t>公积金网络线路租用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443" w:type="dxa"/>
            <w:gridSpan w:val="3"/>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主管部门   及代码</w:t>
            </w:r>
          </w:p>
        </w:tc>
        <w:tc>
          <w:tcPr>
            <w:tcW w:w="3349" w:type="dxa"/>
            <w:gridSpan w:val="2"/>
            <w:tcBorders>
              <w:tl2br w:val="nil"/>
              <w:tr2bl w:val="nil"/>
            </w:tcBorders>
            <w:vAlign w:val="center"/>
          </w:tcPr>
          <w:p>
            <w:pPr>
              <w:jc w:val="center"/>
              <w:rPr>
                <w:rFonts w:hint="eastAsia" w:ascii="宋体" w:cs="宋体" w:eastAsiaTheme="minorEastAsia"/>
                <w:sz w:val="20"/>
                <w:lang w:val="en-US" w:eastAsia="zh-CN"/>
              </w:rPr>
            </w:pPr>
            <w:r>
              <w:rPr>
                <w:rFonts w:hint="eastAsia" w:ascii="宋体" w:cs="宋体"/>
                <w:sz w:val="20"/>
                <w:lang w:val="en-US" w:eastAsia="zh-CN"/>
              </w:rPr>
              <w:t>淮北市住房公积金管理中心</w:t>
            </w:r>
          </w:p>
        </w:tc>
        <w:tc>
          <w:tcPr>
            <w:tcW w:w="1848" w:type="dxa"/>
            <w:tcBorders>
              <w:tl2br w:val="nil"/>
              <w:tr2bl w:val="nil"/>
            </w:tcBorders>
            <w:vAlign w:val="center"/>
          </w:tcPr>
          <w:p>
            <w:pPr>
              <w:widowControl/>
              <w:jc w:val="center"/>
              <w:textAlignment w:val="center"/>
            </w:pPr>
            <w:r>
              <w:rPr>
                <w:rFonts w:hint="eastAsia" w:ascii="宋体" w:hAnsi="宋体" w:eastAsia="宋体" w:cs="宋体"/>
                <w:color w:val="000000"/>
                <w:kern w:val="0"/>
                <w:sz w:val="20"/>
                <w:szCs w:val="20"/>
              </w:rPr>
              <w:t>实施单位</w:t>
            </w:r>
          </w:p>
        </w:tc>
        <w:tc>
          <w:tcPr>
            <w:tcW w:w="2380" w:type="dxa"/>
            <w:tcBorders>
              <w:tl2br w:val="nil"/>
              <w:tr2bl w:val="nil"/>
            </w:tcBorders>
            <w:vAlign w:val="center"/>
          </w:tcPr>
          <w:p>
            <w:pPr>
              <w:jc w:val="center"/>
              <w:rPr>
                <w:rFonts w:hint="eastAsia" w:eastAsiaTheme="minorEastAsia"/>
                <w:lang w:val="en-US" w:eastAsia="zh-CN"/>
              </w:rPr>
            </w:pPr>
            <w:r>
              <w:rPr>
                <w:rFonts w:hint="eastAsia"/>
                <w:lang w:val="en-US" w:eastAsia="zh-CN"/>
              </w:rPr>
              <w:t>淮北市住房公积金管理中心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项目来源</w:t>
            </w:r>
          </w:p>
        </w:tc>
        <w:tc>
          <w:tcPr>
            <w:tcW w:w="3349" w:type="dxa"/>
            <w:gridSpan w:val="2"/>
            <w:tcBorders>
              <w:tl2br w:val="nil"/>
              <w:tr2bl w:val="nil"/>
            </w:tcBorders>
            <w:vAlign w:val="center"/>
          </w:tcPr>
          <w:p>
            <w:pPr>
              <w:jc w:val="center"/>
              <w:rPr>
                <w:rFonts w:hint="eastAsia" w:ascii="宋体" w:cs="宋体" w:eastAsiaTheme="minorEastAsia"/>
                <w:sz w:val="20"/>
                <w:lang w:val="en-US" w:eastAsia="zh-CN"/>
              </w:rPr>
            </w:pPr>
            <w:r>
              <w:rPr>
                <w:rFonts w:hint="eastAsia" w:ascii="宋体" w:cs="宋体"/>
                <w:sz w:val="20"/>
                <w:lang w:val="en-US" w:eastAsia="zh-CN"/>
              </w:rPr>
              <w:t>单位申请</w:t>
            </w:r>
          </w:p>
        </w:tc>
        <w:tc>
          <w:tcPr>
            <w:tcW w:w="1848" w:type="dxa"/>
            <w:tcBorders>
              <w:tl2br w:val="nil"/>
              <w:tr2bl w:val="nil"/>
            </w:tcBorders>
            <w:vAlign w:val="center"/>
          </w:tcPr>
          <w:p>
            <w:pPr>
              <w:widowControl/>
              <w:jc w:val="center"/>
              <w:textAlignment w:val="center"/>
            </w:pPr>
            <w:r>
              <w:rPr>
                <w:rFonts w:hint="eastAsia" w:ascii="宋体" w:hAnsi="宋体" w:eastAsia="宋体" w:cs="宋体"/>
                <w:color w:val="000000"/>
                <w:kern w:val="0"/>
                <w:sz w:val="20"/>
                <w:szCs w:val="20"/>
              </w:rPr>
              <w:t>项目期</w:t>
            </w:r>
          </w:p>
        </w:tc>
        <w:tc>
          <w:tcPr>
            <w:tcW w:w="2380" w:type="dxa"/>
            <w:tcBorders>
              <w:tl2br w:val="nil"/>
              <w:tr2bl w:val="nil"/>
            </w:tcBorders>
            <w:vAlign w:val="center"/>
          </w:tcPr>
          <w:p>
            <w:pPr>
              <w:jc w:val="center"/>
              <w:rPr>
                <w:rFonts w:hint="default" w:eastAsiaTheme="minorEastAsia"/>
                <w:lang w:val="en-US" w:eastAsia="zh-CN"/>
              </w:rPr>
            </w:pPr>
            <w:r>
              <w:rPr>
                <w:rFonts w:hint="eastAsia"/>
                <w:lang w:val="en-US" w:eastAsia="zh-CN"/>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项目资金</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（万元）</w:t>
            </w: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年度资金总额：</w:t>
            </w:r>
          </w:p>
        </w:tc>
        <w:tc>
          <w:tcPr>
            <w:tcW w:w="4228" w:type="dxa"/>
            <w:gridSpan w:val="2"/>
            <w:tcBorders>
              <w:tl2br w:val="nil"/>
              <w:tr2bl w:val="nil"/>
            </w:tcBorders>
            <w:vAlign w:val="center"/>
          </w:tcPr>
          <w:p>
            <w:pPr>
              <w:jc w:val="right"/>
              <w:rPr>
                <w:rFonts w:ascii="宋体" w:cs="宋体"/>
                <w:sz w:val="20"/>
              </w:rPr>
            </w:pPr>
            <w:r>
              <w:rPr>
                <w:rFonts w:hint="eastAsia" w:ascii="宋体" w:cs="宋体"/>
                <w:sz w:val="20"/>
              </w:rPr>
              <w:t>128.48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宋体" w:cs="宋体"/>
                <w:sz w:val="20"/>
              </w:rPr>
            </w:pP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其中：财政拨款</w:t>
            </w:r>
          </w:p>
        </w:tc>
        <w:tc>
          <w:tcPr>
            <w:tcW w:w="4228" w:type="dxa"/>
            <w:gridSpan w:val="2"/>
            <w:tcBorders>
              <w:tl2br w:val="nil"/>
              <w:tr2bl w:val="nil"/>
            </w:tcBorders>
            <w:vAlign w:val="center"/>
          </w:tcPr>
          <w:p>
            <w:pPr>
              <w:jc w:val="right"/>
              <w:rPr>
                <w:rFonts w:ascii="宋体" w:cs="宋体"/>
                <w:sz w:val="20"/>
              </w:rPr>
            </w:pPr>
            <w:r>
              <w:rPr>
                <w:rFonts w:hint="eastAsia" w:ascii="宋体" w:cs="宋体"/>
                <w:sz w:val="20"/>
              </w:rPr>
              <w:t>128.48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宋体" w:cs="宋体"/>
                <w:sz w:val="20"/>
              </w:rPr>
            </w:pP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上年结转</w:t>
            </w:r>
          </w:p>
        </w:tc>
        <w:tc>
          <w:tcPr>
            <w:tcW w:w="4228" w:type="dxa"/>
            <w:gridSpan w:val="2"/>
            <w:tcBorders>
              <w:tl2br w:val="nil"/>
              <w:tr2bl w:val="nil"/>
            </w:tcBorders>
            <w:vAlign w:val="center"/>
          </w:tcPr>
          <w:p>
            <w:pPr>
              <w:jc w:val="center"/>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宋体" w:cs="宋体"/>
                <w:sz w:val="20"/>
              </w:rPr>
            </w:pP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其他资金</w:t>
            </w:r>
          </w:p>
        </w:tc>
        <w:tc>
          <w:tcPr>
            <w:tcW w:w="4228" w:type="dxa"/>
            <w:gridSpan w:val="2"/>
            <w:tcBorders>
              <w:tl2br w:val="nil"/>
              <w:tr2bl w:val="nil"/>
            </w:tcBorders>
            <w:vAlign w:val="center"/>
          </w:tcPr>
          <w:p>
            <w:pPr>
              <w:jc w:val="right"/>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438" w:type="dxa"/>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年度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目标</w:t>
            </w:r>
          </w:p>
        </w:tc>
        <w:tc>
          <w:tcPr>
            <w:tcW w:w="8582" w:type="dxa"/>
            <w:gridSpan w:val="6"/>
            <w:tcBorders>
              <w:tl2br w:val="nil"/>
              <w:tr2bl w:val="nil"/>
            </w:tcBorders>
            <w:vAlign w:val="center"/>
          </w:tcPr>
          <w:p>
            <w:pPr>
              <w:jc w:val="left"/>
              <w:rPr>
                <w:rFonts w:ascii="宋体" w:cs="宋体"/>
                <w:sz w:val="20"/>
              </w:rPr>
            </w:pPr>
            <w:r>
              <w:rPr>
                <w:rFonts w:hint="eastAsia" w:ascii="宋体" w:cs="宋体"/>
                <w:sz w:val="20"/>
              </w:rPr>
              <w:t>按合同约定支付。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438" w:type="dxa"/>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绩</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效</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标</w:t>
            </w:r>
          </w:p>
        </w:tc>
        <w:tc>
          <w:tcPr>
            <w:tcW w:w="723" w:type="dxa"/>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一级</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指标</w:t>
            </w: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二级指标</w:t>
            </w:r>
          </w:p>
        </w:tc>
        <w:tc>
          <w:tcPr>
            <w:tcW w:w="2872" w:type="dxa"/>
            <w:tcBorders>
              <w:tl2br w:val="nil"/>
              <w:tr2bl w:val="nil"/>
            </w:tcBorders>
            <w:vAlign w:val="center"/>
          </w:tcPr>
          <w:p>
            <w:pPr>
              <w:jc w:val="center"/>
              <w:rPr>
                <w:rFonts w:ascii="宋体" w:cs="宋体"/>
                <w:sz w:val="20"/>
              </w:rPr>
            </w:pPr>
            <w:r>
              <w:rPr>
                <w:rFonts w:hint="eastAsia" w:ascii="宋体" w:cs="宋体"/>
                <w:sz w:val="20"/>
              </w:rPr>
              <w:t>三级指标</w:t>
            </w:r>
          </w:p>
        </w:tc>
        <w:tc>
          <w:tcPr>
            <w:tcW w:w="4228" w:type="dxa"/>
            <w:gridSpan w:val="2"/>
            <w:tcBorders>
              <w:tl2br w:val="nil"/>
              <w:tr2bl w:val="nil"/>
            </w:tcBorders>
            <w:vAlign w:val="center"/>
          </w:tcPr>
          <w:p>
            <w:pPr>
              <w:jc w:val="center"/>
              <w:rPr>
                <w:rFonts w:ascii="宋体" w:cs="宋体"/>
                <w:sz w:val="20"/>
              </w:rPr>
            </w:pPr>
            <w:r>
              <w:rPr>
                <w:rFonts w:hint="eastAsia" w:ascii="宋体" w:cs="宋体"/>
                <w:sz w:val="20"/>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产出指标</w:t>
            </w: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数量指标</w:t>
            </w:r>
          </w:p>
        </w:tc>
        <w:tc>
          <w:tcPr>
            <w:tcW w:w="2872" w:type="dxa"/>
            <w:tcBorders>
              <w:tl2br w:val="nil"/>
              <w:tr2bl w:val="nil"/>
            </w:tcBorders>
            <w:vAlign w:val="center"/>
          </w:tcPr>
          <w:p>
            <w:pPr>
              <w:jc w:val="left"/>
              <w:rPr>
                <w:rFonts w:hint="eastAsia" w:ascii="宋体" w:cs="宋体"/>
                <w:sz w:val="20"/>
                <w:lang w:eastAsia="zh-CN"/>
              </w:rPr>
            </w:pPr>
            <w:r>
              <w:rPr>
                <w:rFonts w:hint="eastAsia" w:ascii="宋体" w:cs="宋体"/>
                <w:sz w:val="20"/>
              </w:rPr>
              <w:t>指标</w:t>
            </w:r>
            <w:r>
              <w:rPr>
                <w:rFonts w:hint="eastAsia" w:ascii="宋体" w:cs="宋体"/>
                <w:sz w:val="20"/>
                <w:lang w:eastAsia="zh-CN"/>
              </w:rPr>
              <w:t>：</w:t>
            </w:r>
            <w:r>
              <w:rPr>
                <w:rFonts w:ascii="宋体" w:cs="宋体"/>
                <w:sz w:val="20"/>
              </w:rPr>
              <w:t>线路租用数量</w:t>
            </w:r>
          </w:p>
        </w:tc>
        <w:tc>
          <w:tcPr>
            <w:tcW w:w="4228" w:type="dxa"/>
            <w:gridSpan w:val="2"/>
            <w:tcBorders>
              <w:tl2br w:val="nil"/>
              <w:tr2bl w:val="nil"/>
            </w:tcBorders>
            <w:vAlign w:val="center"/>
          </w:tcPr>
          <w:p>
            <w:pPr>
              <w:jc w:val="center"/>
              <w:rPr>
                <w:rFonts w:hint="eastAsia" w:ascii="宋体" w:cs="宋体" w:eastAsiaTheme="minorEastAsia"/>
                <w:sz w:val="20"/>
                <w:lang w:val="en-US" w:eastAsia="zh-CN"/>
              </w:rPr>
            </w:pPr>
            <w:r>
              <w:rPr>
                <w:rFonts w:hint="default" w:ascii="宋体" w:cs="宋体"/>
                <w:sz w:val="20"/>
                <w:lang w:val="en-US"/>
              </w:rPr>
              <w:t>=7</w:t>
            </w:r>
            <w:r>
              <w:rPr>
                <w:rFonts w:hint="eastAsia" w:ascii="宋体" w:cs="宋体"/>
                <w:sz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restart"/>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质量指标</w:t>
            </w:r>
          </w:p>
        </w:tc>
        <w:tc>
          <w:tcPr>
            <w:tcW w:w="2872" w:type="dxa"/>
            <w:tcBorders>
              <w:tl2br w:val="nil"/>
              <w:tr2bl w:val="nil"/>
            </w:tcBorders>
            <w:vAlign w:val="center"/>
          </w:tcPr>
          <w:p>
            <w:pPr>
              <w:jc w:val="left"/>
              <w:rPr>
                <w:rFonts w:hint="eastAsia" w:ascii="宋体" w:cs="宋体"/>
                <w:sz w:val="20"/>
                <w:lang w:eastAsia="zh-CN"/>
              </w:rPr>
            </w:pPr>
            <w:r>
              <w:rPr>
                <w:rFonts w:hint="eastAsia" w:ascii="宋体" w:cs="宋体"/>
                <w:sz w:val="20"/>
              </w:rPr>
              <w:t>指标</w:t>
            </w:r>
            <w:r>
              <w:rPr>
                <w:rFonts w:hint="eastAsia" w:ascii="宋体" w:cs="宋体"/>
                <w:sz w:val="20"/>
                <w:lang w:eastAsia="zh-CN"/>
              </w:rPr>
              <w:t>：</w:t>
            </w:r>
            <w:r>
              <w:rPr>
                <w:rFonts w:ascii="宋体" w:cs="宋体"/>
                <w:sz w:val="20"/>
              </w:rPr>
              <w:t>线路畅通率</w:t>
            </w:r>
          </w:p>
        </w:tc>
        <w:tc>
          <w:tcPr>
            <w:tcW w:w="4228" w:type="dxa"/>
            <w:gridSpan w:val="2"/>
            <w:tcBorders>
              <w:tl2br w:val="nil"/>
              <w:tr2bl w:val="nil"/>
            </w:tcBorders>
            <w:vAlign w:val="center"/>
          </w:tcPr>
          <w:p>
            <w:pPr>
              <w:jc w:val="center"/>
              <w:rPr>
                <w:rFonts w:hint="default" w:ascii="宋体" w:cs="宋体"/>
                <w:sz w:val="20"/>
                <w:lang w:val="en-US"/>
              </w:rPr>
            </w:pPr>
            <w:r>
              <w:rPr>
                <w:rFonts w:ascii="宋体" w:cs="宋体"/>
                <w:sz w:val="20"/>
              </w:rPr>
              <w:t>≥</w:t>
            </w:r>
            <w:r>
              <w:rPr>
                <w:rFonts w:hint="default" w:ascii="宋体" w:cs="宋体"/>
                <w:sz w:val="20"/>
                <w:lang w:val="en-US"/>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continue"/>
            <w:tcBorders>
              <w:tl2br w:val="nil"/>
              <w:tr2bl w:val="nil"/>
            </w:tcBorders>
            <w:vAlign w:val="center"/>
          </w:tcPr>
          <w:p>
            <w:pPr>
              <w:jc w:val="center"/>
              <w:rPr>
                <w:rFonts w:ascii="宋体" w:cs="宋体"/>
                <w:sz w:val="20"/>
              </w:rPr>
            </w:pPr>
          </w:p>
        </w:tc>
        <w:tc>
          <w:tcPr>
            <w:tcW w:w="2872" w:type="dxa"/>
            <w:tcBorders>
              <w:tl2br w:val="nil"/>
              <w:tr2bl w:val="nil"/>
            </w:tcBorders>
            <w:vAlign w:val="center"/>
          </w:tcPr>
          <w:p>
            <w:pPr>
              <w:jc w:val="left"/>
              <w:rPr>
                <w:rFonts w:ascii="宋体" w:cs="宋体"/>
                <w:sz w:val="20"/>
              </w:rPr>
            </w:pPr>
            <w:r>
              <w:rPr>
                <w:rFonts w:hint="eastAsia" w:ascii="宋体" w:cs="宋体"/>
                <w:sz w:val="20"/>
              </w:rPr>
              <w:t>指标</w:t>
            </w:r>
            <w:r>
              <w:rPr>
                <w:rFonts w:hint="eastAsia" w:ascii="宋体" w:cs="宋体"/>
                <w:sz w:val="20"/>
                <w:lang w:eastAsia="zh-CN"/>
              </w:rPr>
              <w:t>：</w:t>
            </w:r>
            <w:r>
              <w:rPr>
                <w:rFonts w:ascii="宋体" w:cs="宋体"/>
                <w:sz w:val="20"/>
              </w:rPr>
              <w:t>线路运事故发生频率</w:t>
            </w:r>
          </w:p>
        </w:tc>
        <w:tc>
          <w:tcPr>
            <w:tcW w:w="4228" w:type="dxa"/>
            <w:gridSpan w:val="2"/>
            <w:tcBorders>
              <w:tl2br w:val="nil"/>
              <w:tr2bl w:val="nil"/>
            </w:tcBorders>
            <w:vAlign w:val="center"/>
          </w:tcPr>
          <w:p>
            <w:pPr>
              <w:jc w:val="center"/>
              <w:rPr>
                <w:rFonts w:hint="default" w:ascii="宋体" w:cs="宋体"/>
                <w:sz w:val="20"/>
                <w:lang w:val="en-US"/>
              </w:rPr>
            </w:pPr>
            <w:r>
              <w:rPr>
                <w:rFonts w:ascii="宋体" w:cs="宋体"/>
                <w:sz w:val="20"/>
              </w:rPr>
              <w:t>≤</w:t>
            </w:r>
            <w:r>
              <w:rPr>
                <w:rFonts w:hint="default" w:ascii="宋体" w:cs="宋体"/>
                <w:sz w:val="20"/>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时效指标</w:t>
            </w:r>
          </w:p>
        </w:tc>
        <w:tc>
          <w:tcPr>
            <w:tcW w:w="2872" w:type="dxa"/>
            <w:tcBorders>
              <w:tl2br w:val="nil"/>
              <w:tr2bl w:val="nil"/>
            </w:tcBorders>
            <w:vAlign w:val="center"/>
          </w:tcPr>
          <w:p>
            <w:pPr>
              <w:jc w:val="left"/>
              <w:rPr>
                <w:rFonts w:hint="eastAsia" w:ascii="宋体" w:cs="宋体"/>
                <w:sz w:val="20"/>
                <w:lang w:eastAsia="zh-CN"/>
              </w:rPr>
            </w:pPr>
            <w:r>
              <w:rPr>
                <w:rFonts w:hint="eastAsia" w:ascii="宋体" w:cs="宋体"/>
                <w:sz w:val="20"/>
              </w:rPr>
              <w:t>指标</w:t>
            </w:r>
            <w:r>
              <w:rPr>
                <w:rFonts w:hint="eastAsia" w:ascii="宋体" w:cs="宋体"/>
                <w:sz w:val="20"/>
                <w:lang w:eastAsia="zh-CN"/>
              </w:rPr>
              <w:t>：</w:t>
            </w:r>
            <w:r>
              <w:rPr>
                <w:rFonts w:ascii="宋体" w:cs="宋体"/>
                <w:sz w:val="20"/>
              </w:rPr>
              <w:t>故障修复响应时间</w:t>
            </w:r>
          </w:p>
        </w:tc>
        <w:tc>
          <w:tcPr>
            <w:tcW w:w="4228" w:type="dxa"/>
            <w:gridSpan w:val="2"/>
            <w:tcBorders>
              <w:tl2br w:val="nil"/>
              <w:tr2bl w:val="nil"/>
            </w:tcBorders>
            <w:vAlign w:val="center"/>
          </w:tcPr>
          <w:p>
            <w:pPr>
              <w:jc w:val="center"/>
              <w:rPr>
                <w:rFonts w:ascii="宋体" w:cs="宋体"/>
                <w:sz w:val="20"/>
              </w:rPr>
            </w:pPr>
            <w:r>
              <w:rPr>
                <w:rFonts w:ascii="宋体" w:cs="宋体"/>
                <w:sz w:val="20"/>
              </w:rPr>
              <w:t>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成本指标</w:t>
            </w:r>
          </w:p>
        </w:tc>
        <w:tc>
          <w:tcPr>
            <w:tcW w:w="2872" w:type="dxa"/>
            <w:tcBorders>
              <w:tl2br w:val="nil"/>
              <w:tr2bl w:val="nil"/>
            </w:tcBorders>
            <w:vAlign w:val="center"/>
          </w:tcPr>
          <w:p>
            <w:pPr>
              <w:jc w:val="left"/>
              <w:rPr>
                <w:rFonts w:hint="eastAsia" w:ascii="宋体" w:cs="宋体"/>
                <w:sz w:val="20"/>
                <w:lang w:eastAsia="zh-CN"/>
              </w:rPr>
            </w:pPr>
            <w:r>
              <w:rPr>
                <w:rFonts w:hint="eastAsia" w:ascii="宋体" w:cs="宋体"/>
                <w:sz w:val="20"/>
              </w:rPr>
              <w:t>指标</w:t>
            </w:r>
            <w:r>
              <w:rPr>
                <w:rFonts w:hint="eastAsia" w:ascii="宋体" w:cs="宋体"/>
                <w:sz w:val="20"/>
                <w:lang w:eastAsia="zh-CN"/>
              </w:rPr>
              <w:t>：</w:t>
            </w:r>
            <w:r>
              <w:rPr>
                <w:rFonts w:ascii="宋体" w:cs="宋体"/>
                <w:sz w:val="20"/>
              </w:rPr>
              <w:t>项目总成本</w:t>
            </w:r>
          </w:p>
        </w:tc>
        <w:tc>
          <w:tcPr>
            <w:tcW w:w="4228" w:type="dxa"/>
            <w:gridSpan w:val="2"/>
            <w:tcBorders>
              <w:tl2br w:val="nil"/>
              <w:tr2bl w:val="nil"/>
            </w:tcBorders>
            <w:vAlign w:val="center"/>
          </w:tcPr>
          <w:p>
            <w:pPr>
              <w:jc w:val="center"/>
              <w:rPr>
                <w:rFonts w:ascii="宋体" w:cs="宋体"/>
                <w:sz w:val="20"/>
              </w:rPr>
            </w:pPr>
            <w:r>
              <w:rPr>
                <w:rFonts w:ascii="宋体" w:cs="宋体"/>
                <w:sz w:val="20"/>
              </w:rPr>
              <w:t>≤128</w:t>
            </w:r>
            <w:r>
              <w:rPr>
                <w:rFonts w:hint="default" w:ascii="宋体" w:cs="宋体"/>
                <w:sz w:val="20"/>
                <w:lang w:val="en-US"/>
              </w:rPr>
              <w:t>.</w:t>
            </w:r>
            <w:r>
              <w:rPr>
                <w:rFonts w:ascii="宋体" w:cs="宋体"/>
                <w:sz w:val="20"/>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效益指标</w:t>
            </w:r>
          </w:p>
        </w:tc>
        <w:tc>
          <w:tcPr>
            <w:tcW w:w="759" w:type="dxa"/>
            <w:gridSpan w:val="2"/>
            <w:vMerge w:val="restart"/>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经济效益指标</w:t>
            </w:r>
          </w:p>
        </w:tc>
        <w:tc>
          <w:tcPr>
            <w:tcW w:w="2872" w:type="dxa"/>
            <w:tcBorders>
              <w:tl2br w:val="nil"/>
              <w:tr2bl w:val="nil"/>
            </w:tcBorders>
            <w:vAlign w:val="center"/>
          </w:tcPr>
          <w:p>
            <w:pPr>
              <w:jc w:val="left"/>
              <w:rPr>
                <w:rFonts w:hint="eastAsia" w:ascii="宋体" w:cs="宋体"/>
                <w:sz w:val="20"/>
                <w:lang w:eastAsia="zh-CN"/>
              </w:rPr>
            </w:pPr>
            <w:r>
              <w:rPr>
                <w:rFonts w:hint="eastAsia" w:ascii="宋体" w:cs="宋体"/>
                <w:sz w:val="20"/>
              </w:rPr>
              <w:t>指标</w:t>
            </w:r>
            <w:r>
              <w:rPr>
                <w:rFonts w:hint="eastAsia" w:ascii="宋体" w:cs="宋体"/>
                <w:sz w:val="20"/>
                <w:lang w:eastAsia="zh-CN"/>
              </w:rPr>
              <w:t>：</w:t>
            </w:r>
            <w:r>
              <w:rPr>
                <w:rFonts w:ascii="宋体" w:cs="宋体"/>
                <w:sz w:val="20"/>
              </w:rPr>
              <w:t>对改善数据资源共享机制的影响程度</w:t>
            </w:r>
          </w:p>
        </w:tc>
        <w:tc>
          <w:tcPr>
            <w:tcW w:w="4228" w:type="dxa"/>
            <w:gridSpan w:val="2"/>
            <w:tcBorders>
              <w:tl2br w:val="nil"/>
              <w:tr2bl w:val="nil"/>
            </w:tcBorders>
            <w:vAlign w:val="center"/>
          </w:tcPr>
          <w:p>
            <w:pPr>
              <w:jc w:val="center"/>
              <w:rPr>
                <w:rFonts w:ascii="宋体" w:cs="宋体"/>
                <w:sz w:val="20"/>
              </w:rPr>
            </w:pPr>
            <w:r>
              <w:rPr>
                <w:rFonts w:ascii="宋体" w:cs="宋体"/>
                <w:sz w:val="20"/>
              </w:rPr>
              <w:t>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continue"/>
            <w:tcBorders>
              <w:tl2br w:val="nil"/>
              <w:tr2bl w:val="nil"/>
            </w:tcBorders>
            <w:vAlign w:val="center"/>
          </w:tcPr>
          <w:p>
            <w:pPr>
              <w:jc w:val="center"/>
              <w:rPr>
                <w:rFonts w:ascii="宋体" w:cs="宋体"/>
                <w:sz w:val="20"/>
              </w:rPr>
            </w:pPr>
          </w:p>
        </w:tc>
        <w:tc>
          <w:tcPr>
            <w:tcW w:w="2872" w:type="dxa"/>
            <w:tcBorders>
              <w:tl2br w:val="nil"/>
              <w:tr2bl w:val="nil"/>
            </w:tcBorders>
            <w:vAlign w:val="center"/>
          </w:tcPr>
          <w:p>
            <w:pPr>
              <w:jc w:val="left"/>
              <w:rPr>
                <w:rFonts w:ascii="宋体" w:cs="宋体"/>
                <w:sz w:val="20"/>
              </w:rPr>
            </w:pPr>
            <w:r>
              <w:rPr>
                <w:rFonts w:hint="eastAsia" w:ascii="宋体" w:cs="宋体"/>
                <w:sz w:val="20"/>
              </w:rPr>
              <w:t>指标</w:t>
            </w:r>
            <w:r>
              <w:rPr>
                <w:rFonts w:hint="eastAsia" w:ascii="宋体" w:cs="宋体"/>
                <w:sz w:val="20"/>
                <w:lang w:eastAsia="zh-CN"/>
              </w:rPr>
              <w:t>：</w:t>
            </w:r>
            <w:r>
              <w:rPr>
                <w:rFonts w:ascii="宋体" w:cs="宋体"/>
                <w:sz w:val="20"/>
              </w:rPr>
              <w:t>对推动“互联网 ”发展的持续影响程度</w:t>
            </w:r>
          </w:p>
        </w:tc>
        <w:tc>
          <w:tcPr>
            <w:tcW w:w="4228" w:type="dxa"/>
            <w:gridSpan w:val="2"/>
            <w:tcBorders>
              <w:tl2br w:val="nil"/>
              <w:tr2bl w:val="nil"/>
            </w:tcBorders>
            <w:vAlign w:val="center"/>
          </w:tcPr>
          <w:p>
            <w:pPr>
              <w:jc w:val="center"/>
              <w:rPr>
                <w:rFonts w:ascii="宋体" w:cs="宋体"/>
                <w:sz w:val="20"/>
              </w:rPr>
            </w:pPr>
            <w:r>
              <w:rPr>
                <w:rFonts w:ascii="宋体" w:cs="宋体"/>
                <w:sz w:val="20"/>
              </w:rPr>
              <w:t>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restart"/>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社会效益指标</w:t>
            </w:r>
          </w:p>
        </w:tc>
        <w:tc>
          <w:tcPr>
            <w:tcW w:w="2872" w:type="dxa"/>
            <w:tcBorders>
              <w:tl2br w:val="nil"/>
              <w:tr2bl w:val="nil"/>
            </w:tcBorders>
            <w:vAlign w:val="center"/>
          </w:tcPr>
          <w:p>
            <w:pPr>
              <w:jc w:val="left"/>
              <w:rPr>
                <w:rFonts w:hint="eastAsia" w:ascii="宋体" w:cs="宋体"/>
                <w:sz w:val="20"/>
                <w:lang w:eastAsia="zh-CN"/>
              </w:rPr>
            </w:pPr>
            <w:r>
              <w:rPr>
                <w:rFonts w:hint="eastAsia" w:ascii="宋体" w:cs="宋体"/>
                <w:sz w:val="20"/>
              </w:rPr>
              <w:t>指标</w:t>
            </w:r>
            <w:r>
              <w:rPr>
                <w:rFonts w:hint="eastAsia" w:ascii="宋体" w:cs="宋体"/>
                <w:sz w:val="20"/>
                <w:lang w:eastAsia="zh-CN"/>
              </w:rPr>
              <w:t>：</w:t>
            </w:r>
            <w:r>
              <w:rPr>
                <w:rFonts w:ascii="宋体" w:cs="宋体"/>
                <w:sz w:val="20"/>
              </w:rPr>
              <w:t>对促进政务信息公开情况的影响程度</w:t>
            </w:r>
          </w:p>
        </w:tc>
        <w:tc>
          <w:tcPr>
            <w:tcW w:w="4228" w:type="dxa"/>
            <w:gridSpan w:val="2"/>
            <w:tcBorders>
              <w:tl2br w:val="nil"/>
              <w:tr2bl w:val="nil"/>
            </w:tcBorders>
            <w:vAlign w:val="center"/>
          </w:tcPr>
          <w:p>
            <w:pPr>
              <w:jc w:val="center"/>
              <w:rPr>
                <w:rFonts w:ascii="宋体" w:cs="宋体"/>
                <w:sz w:val="20"/>
              </w:rPr>
            </w:pPr>
            <w:r>
              <w:rPr>
                <w:rFonts w:ascii="宋体" w:cs="宋体"/>
                <w:sz w:val="20"/>
              </w:rPr>
              <w:t>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continue"/>
            <w:tcBorders>
              <w:tl2br w:val="nil"/>
              <w:tr2bl w:val="nil"/>
            </w:tcBorders>
            <w:vAlign w:val="center"/>
          </w:tcPr>
          <w:p>
            <w:pPr>
              <w:jc w:val="center"/>
              <w:rPr>
                <w:rFonts w:ascii="宋体" w:cs="宋体"/>
                <w:sz w:val="20"/>
              </w:rPr>
            </w:pPr>
          </w:p>
        </w:tc>
        <w:tc>
          <w:tcPr>
            <w:tcW w:w="2872" w:type="dxa"/>
            <w:tcBorders>
              <w:tl2br w:val="nil"/>
              <w:tr2bl w:val="nil"/>
            </w:tcBorders>
            <w:vAlign w:val="center"/>
          </w:tcPr>
          <w:p>
            <w:pPr>
              <w:jc w:val="left"/>
              <w:rPr>
                <w:rFonts w:ascii="宋体" w:cs="宋体"/>
                <w:sz w:val="20"/>
              </w:rPr>
            </w:pPr>
            <w:r>
              <w:rPr>
                <w:rFonts w:hint="eastAsia" w:ascii="宋体" w:cs="宋体"/>
                <w:sz w:val="20"/>
              </w:rPr>
              <w:t>指标</w:t>
            </w:r>
            <w:r>
              <w:rPr>
                <w:rFonts w:hint="eastAsia" w:ascii="宋体" w:cs="宋体"/>
                <w:sz w:val="20"/>
                <w:lang w:eastAsia="zh-CN"/>
              </w:rPr>
              <w:t>：</w:t>
            </w:r>
            <w:r>
              <w:rPr>
                <w:rFonts w:ascii="宋体" w:cs="宋体"/>
                <w:sz w:val="20"/>
              </w:rPr>
              <w:t>对提高公共服务能力和效率的改善或提升程度</w:t>
            </w:r>
          </w:p>
        </w:tc>
        <w:tc>
          <w:tcPr>
            <w:tcW w:w="4228" w:type="dxa"/>
            <w:gridSpan w:val="2"/>
            <w:tcBorders>
              <w:tl2br w:val="nil"/>
              <w:tr2bl w:val="nil"/>
            </w:tcBorders>
            <w:vAlign w:val="center"/>
          </w:tcPr>
          <w:p>
            <w:pPr>
              <w:jc w:val="center"/>
              <w:rPr>
                <w:rFonts w:ascii="宋体" w:cs="宋体"/>
                <w:sz w:val="20"/>
              </w:rPr>
            </w:pPr>
            <w:r>
              <w:rPr>
                <w:rFonts w:ascii="宋体" w:cs="宋体"/>
                <w:sz w:val="20"/>
              </w:rPr>
              <w:t>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生态效益指标</w:t>
            </w:r>
          </w:p>
        </w:tc>
        <w:tc>
          <w:tcPr>
            <w:tcW w:w="2872" w:type="dxa"/>
            <w:tcBorders>
              <w:tl2br w:val="nil"/>
              <w:tr2bl w:val="nil"/>
            </w:tcBorders>
            <w:vAlign w:val="center"/>
          </w:tcPr>
          <w:p>
            <w:pPr>
              <w:jc w:val="left"/>
              <w:rPr>
                <w:rFonts w:hint="eastAsia" w:ascii="宋体" w:cs="宋体"/>
                <w:sz w:val="20"/>
                <w:lang w:eastAsia="zh-CN"/>
              </w:rPr>
            </w:pPr>
            <w:r>
              <w:rPr>
                <w:rFonts w:hint="eastAsia" w:ascii="宋体" w:cs="宋体"/>
                <w:sz w:val="20"/>
              </w:rPr>
              <w:t>指标</w:t>
            </w:r>
            <w:r>
              <w:rPr>
                <w:rFonts w:hint="eastAsia" w:ascii="宋体" w:cs="宋体"/>
                <w:sz w:val="20"/>
                <w:lang w:eastAsia="zh-CN"/>
              </w:rPr>
              <w:t>：</w:t>
            </w:r>
            <w:r>
              <w:rPr>
                <w:rFonts w:ascii="宋体" w:cs="宋体"/>
                <w:sz w:val="20"/>
              </w:rPr>
              <w:t>对减少硬件能耗支出，实现节能减排的影响程度</w:t>
            </w:r>
          </w:p>
        </w:tc>
        <w:tc>
          <w:tcPr>
            <w:tcW w:w="4228" w:type="dxa"/>
            <w:gridSpan w:val="2"/>
            <w:tcBorders>
              <w:tl2br w:val="nil"/>
              <w:tr2bl w:val="nil"/>
            </w:tcBorders>
            <w:vAlign w:val="center"/>
          </w:tcPr>
          <w:p>
            <w:pPr>
              <w:jc w:val="center"/>
              <w:rPr>
                <w:rFonts w:ascii="宋体" w:cs="宋体"/>
                <w:sz w:val="20"/>
              </w:rPr>
            </w:pPr>
            <w:r>
              <w:rPr>
                <w:rFonts w:ascii="宋体" w:cs="宋体"/>
                <w:sz w:val="20"/>
              </w:rPr>
              <w:t>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restart"/>
            <w:tcBorders>
              <w:tl2br w:val="nil"/>
              <w:tr2bl w:val="nil"/>
            </w:tcBorders>
            <w:vAlign w:val="center"/>
          </w:tcPr>
          <w:p>
            <w:pPr>
              <w:widowControl/>
              <w:spacing w:line="200" w:lineRule="exact"/>
              <w:jc w:val="center"/>
              <w:rPr>
                <w:rFonts w:ascii="宋体" w:hAnsi="宋体" w:eastAsia="宋体" w:cs="宋体"/>
                <w:sz w:val="20"/>
              </w:rPr>
            </w:pPr>
            <w:r>
              <w:rPr>
                <w:rFonts w:hint="eastAsia" w:ascii="宋体" w:hAnsi="宋体" w:eastAsia="宋体" w:cs="宋体"/>
                <w:sz w:val="20"/>
              </w:rPr>
              <w:t>可持续影响指标</w:t>
            </w:r>
          </w:p>
        </w:tc>
        <w:tc>
          <w:tcPr>
            <w:tcW w:w="2872" w:type="dxa"/>
            <w:tcBorders>
              <w:tl2br w:val="nil"/>
              <w:tr2bl w:val="nil"/>
            </w:tcBorders>
            <w:vAlign w:val="center"/>
          </w:tcPr>
          <w:p>
            <w:pPr>
              <w:jc w:val="left"/>
              <w:rPr>
                <w:rFonts w:hint="eastAsia" w:ascii="宋体" w:cs="宋体"/>
                <w:sz w:val="20"/>
                <w:lang w:eastAsia="zh-CN"/>
              </w:rPr>
            </w:pPr>
            <w:r>
              <w:rPr>
                <w:rFonts w:hint="eastAsia" w:ascii="宋体" w:cs="宋体"/>
                <w:sz w:val="20"/>
              </w:rPr>
              <w:t>指标</w:t>
            </w:r>
            <w:r>
              <w:rPr>
                <w:rFonts w:hint="eastAsia" w:ascii="宋体" w:cs="宋体"/>
                <w:sz w:val="20"/>
                <w:lang w:eastAsia="zh-CN"/>
              </w:rPr>
              <w:t>：</w:t>
            </w:r>
            <w:r>
              <w:rPr>
                <w:rFonts w:ascii="宋体" w:cs="宋体"/>
                <w:sz w:val="20"/>
              </w:rPr>
              <w:t>对保障机构持续稳定运转、持续发挥职能的改善或提升程度</w:t>
            </w:r>
          </w:p>
        </w:tc>
        <w:tc>
          <w:tcPr>
            <w:tcW w:w="4228" w:type="dxa"/>
            <w:gridSpan w:val="2"/>
            <w:tcBorders>
              <w:tl2br w:val="nil"/>
              <w:tr2bl w:val="nil"/>
            </w:tcBorders>
            <w:vAlign w:val="center"/>
          </w:tcPr>
          <w:p>
            <w:pPr>
              <w:jc w:val="center"/>
              <w:rPr>
                <w:rFonts w:ascii="宋体" w:cs="宋体"/>
                <w:sz w:val="20"/>
              </w:rPr>
            </w:pPr>
            <w:r>
              <w:rPr>
                <w:rFonts w:ascii="宋体" w:cs="宋体"/>
                <w:sz w:val="20"/>
              </w:rPr>
              <w:t>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continue"/>
            <w:tcBorders>
              <w:tl2br w:val="nil"/>
              <w:tr2bl w:val="nil"/>
            </w:tcBorders>
            <w:vAlign w:val="center"/>
          </w:tcPr>
          <w:p>
            <w:pPr>
              <w:jc w:val="center"/>
              <w:rPr>
                <w:rFonts w:ascii="宋体" w:hAnsi="宋体" w:eastAsia="宋体" w:cs="宋体"/>
                <w:sz w:val="20"/>
              </w:rPr>
            </w:pPr>
          </w:p>
        </w:tc>
        <w:tc>
          <w:tcPr>
            <w:tcW w:w="2872" w:type="dxa"/>
            <w:tcBorders>
              <w:tl2br w:val="nil"/>
              <w:tr2bl w:val="nil"/>
            </w:tcBorders>
            <w:vAlign w:val="center"/>
          </w:tcPr>
          <w:p>
            <w:pPr>
              <w:jc w:val="left"/>
              <w:rPr>
                <w:rFonts w:hint="eastAsia" w:ascii="宋体" w:cs="宋体"/>
                <w:sz w:val="20"/>
                <w:lang w:eastAsia="zh-CN"/>
              </w:rPr>
            </w:pPr>
            <w:r>
              <w:rPr>
                <w:rFonts w:hint="eastAsia" w:ascii="宋体" w:cs="宋体"/>
                <w:sz w:val="20"/>
                <w:lang w:val="en-US" w:eastAsia="zh-CN"/>
              </w:rPr>
              <w:t>指标：</w:t>
            </w:r>
            <w:r>
              <w:rPr>
                <w:rFonts w:ascii="宋体" w:cs="宋体"/>
                <w:sz w:val="20"/>
              </w:rPr>
              <w:t>对信息系统后续可用性及稳定性的持续影响程度</w:t>
            </w:r>
          </w:p>
        </w:tc>
        <w:tc>
          <w:tcPr>
            <w:tcW w:w="4228" w:type="dxa"/>
            <w:gridSpan w:val="2"/>
            <w:tcBorders>
              <w:tl2br w:val="nil"/>
              <w:tr2bl w:val="nil"/>
            </w:tcBorders>
            <w:vAlign w:val="center"/>
          </w:tcPr>
          <w:p>
            <w:pPr>
              <w:jc w:val="center"/>
              <w:rPr>
                <w:rFonts w:ascii="宋体" w:cs="宋体"/>
                <w:sz w:val="20"/>
              </w:rPr>
            </w:pPr>
            <w:r>
              <w:rPr>
                <w:rFonts w:ascii="宋体" w:cs="宋体"/>
                <w:sz w:val="20"/>
              </w:rPr>
              <w:t>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tcBorders>
              <w:tl2br w:val="nil"/>
              <w:tr2bl w:val="nil"/>
            </w:tcBorders>
            <w:vAlign w:val="center"/>
          </w:tcPr>
          <w:p>
            <w:pPr>
              <w:widowControl/>
              <w:spacing w:line="200" w:lineRule="exact"/>
              <w:jc w:val="center"/>
              <w:rPr>
                <w:rFonts w:ascii="宋体" w:hAnsi="宋体" w:eastAsia="宋体" w:cs="宋体"/>
                <w:sz w:val="20"/>
              </w:rPr>
            </w:pPr>
            <w:r>
              <w:rPr>
                <w:rFonts w:hint="eastAsia" w:ascii="宋体" w:hAnsi="宋体" w:eastAsia="宋体" w:cs="宋体"/>
                <w:sz w:val="20"/>
              </w:rPr>
              <w:t>满意度指标</w:t>
            </w:r>
          </w:p>
        </w:tc>
        <w:tc>
          <w:tcPr>
            <w:tcW w:w="759" w:type="dxa"/>
            <w:gridSpan w:val="2"/>
            <w:tcBorders>
              <w:tl2br w:val="nil"/>
              <w:tr2bl w:val="nil"/>
            </w:tcBorders>
            <w:vAlign w:val="center"/>
          </w:tcPr>
          <w:p>
            <w:pPr>
              <w:widowControl/>
              <w:spacing w:line="200" w:lineRule="exact"/>
              <w:jc w:val="center"/>
              <w:rPr>
                <w:rFonts w:ascii="宋体" w:hAnsi="宋体" w:eastAsia="宋体" w:cs="宋体"/>
                <w:sz w:val="20"/>
              </w:rPr>
            </w:pPr>
            <w:r>
              <w:rPr>
                <w:rFonts w:hint="eastAsia" w:ascii="宋体" w:hAnsi="宋体" w:eastAsia="宋体" w:cs="宋体"/>
                <w:sz w:val="20"/>
              </w:rPr>
              <w:t>满意度指标</w:t>
            </w:r>
          </w:p>
        </w:tc>
        <w:tc>
          <w:tcPr>
            <w:tcW w:w="2872" w:type="dxa"/>
            <w:tcBorders>
              <w:tl2br w:val="nil"/>
              <w:tr2bl w:val="nil"/>
            </w:tcBorders>
            <w:vAlign w:val="center"/>
          </w:tcPr>
          <w:p>
            <w:pPr>
              <w:jc w:val="left"/>
              <w:rPr>
                <w:rFonts w:hint="eastAsia" w:ascii="宋体" w:cs="宋体"/>
                <w:sz w:val="20"/>
                <w:lang w:eastAsia="zh-CN"/>
              </w:rPr>
            </w:pPr>
            <w:r>
              <w:rPr>
                <w:rFonts w:hint="eastAsia" w:ascii="宋体" w:cs="宋体"/>
                <w:sz w:val="20"/>
              </w:rPr>
              <w:t>指标</w:t>
            </w:r>
            <w:r>
              <w:rPr>
                <w:rFonts w:hint="eastAsia" w:ascii="宋体" w:cs="宋体"/>
                <w:sz w:val="20"/>
                <w:lang w:eastAsia="zh-CN"/>
              </w:rPr>
              <w:t>：</w:t>
            </w:r>
            <w:r>
              <w:rPr>
                <w:rFonts w:ascii="宋体" w:cs="宋体"/>
                <w:sz w:val="20"/>
              </w:rPr>
              <w:t>服务对象满意度</w:t>
            </w:r>
          </w:p>
        </w:tc>
        <w:tc>
          <w:tcPr>
            <w:tcW w:w="4228" w:type="dxa"/>
            <w:gridSpan w:val="2"/>
            <w:tcBorders>
              <w:tl2br w:val="nil"/>
              <w:tr2bl w:val="nil"/>
            </w:tcBorders>
            <w:vAlign w:val="center"/>
          </w:tcPr>
          <w:p>
            <w:pPr>
              <w:jc w:val="center"/>
              <w:rPr>
                <w:rFonts w:hint="default" w:ascii="宋体" w:cs="宋体"/>
                <w:sz w:val="20"/>
                <w:lang w:val="en-US"/>
              </w:rPr>
            </w:pPr>
            <w:r>
              <w:rPr>
                <w:rFonts w:ascii="宋体" w:cs="宋体"/>
                <w:sz w:val="20"/>
              </w:rPr>
              <w:t>≥90</w:t>
            </w:r>
            <w:r>
              <w:rPr>
                <w:rFonts w:hint="default" w:ascii="宋体" w:cs="宋体"/>
                <w:sz w:val="20"/>
                <w:lang w:val="en-US"/>
              </w:rPr>
              <w:t>%</w:t>
            </w:r>
          </w:p>
        </w:tc>
      </w:tr>
    </w:tbl>
    <w:p>
      <w:pPr>
        <w:ind w:firstLine="420" w:firstLineChars="200"/>
      </w:pPr>
    </w:p>
    <w:p>
      <w:pPr>
        <w:ind w:firstLine="640" w:firstLineChars="200"/>
        <w:rPr>
          <w:rFonts w:ascii="TimesNewRoman" w:hAnsi="TimesNewRoman" w:eastAsia="仿宋_GB2312" w:cs="TimesNewRoman"/>
          <w:kern w:val="0"/>
          <w:sz w:val="32"/>
          <w:szCs w:val="32"/>
        </w:rPr>
      </w:pPr>
      <w:r>
        <w:rPr>
          <w:rFonts w:hint="default" w:ascii="TimesNewRoman" w:hAnsi="TimesNewRoman" w:eastAsia="仿宋_GB2312" w:cs="TimesNewRoman"/>
          <w:kern w:val="0"/>
          <w:sz w:val="32"/>
          <w:szCs w:val="32"/>
          <w:lang w:val="en-US"/>
        </w:rPr>
        <w:t>7</w:t>
      </w:r>
      <w:r>
        <w:rPr>
          <w:rFonts w:hint="eastAsia" w:ascii="TimesNewRoman" w:hAnsi="TimesNewRoman" w:eastAsia="仿宋_GB2312" w:cs="TimesNewRoman"/>
          <w:kern w:val="0"/>
          <w:sz w:val="32"/>
          <w:szCs w:val="32"/>
        </w:rPr>
        <w:t>、“</w:t>
      </w:r>
      <w:r>
        <w:rPr>
          <w:rFonts w:hint="eastAsia" w:ascii="TimesNewRoman" w:hAnsi="TimesNewRoman" w:eastAsia="仿宋_GB2312" w:cs="TimesNewRoman"/>
          <w:kern w:val="0"/>
          <w:sz w:val="32"/>
          <w:szCs w:val="32"/>
          <w:lang w:val="en-US" w:eastAsia="zh-CN"/>
        </w:rPr>
        <w:t>电子资源管理平台（尾款）</w:t>
      </w:r>
      <w:r>
        <w:rPr>
          <w:rFonts w:hint="eastAsia" w:ascii="TimesNewRoman" w:hAnsi="TimesNewRoman" w:eastAsia="仿宋_GB2312" w:cs="TimesNewRoman"/>
          <w:kern w:val="0"/>
          <w:sz w:val="32"/>
          <w:szCs w:val="32"/>
        </w:rPr>
        <w:t>”项目。</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（1）项目概述。推动电子资源管理平台与中心现有系统进行接口方式对接方式，实现电子资源管理平台与业务系统的无缝衔接，全方位的提升中心的电子资料管理、利用开发、数据共享服务能力。</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2）立项依据。根据《住房公积金业务档案管理标准》要求，推动电子资源管理平台与中心现有系统进行接口对接方式，实现电子资源管理平台与业务系统的无缝衔接，全方位的提升中心的电子资料管理、利用开发、数据共享服务能力。</w:t>
      </w:r>
    </w:p>
    <w:p>
      <w:pPr>
        <w:ind w:firstLine="640" w:firstLineChars="200"/>
        <w:rPr>
          <w:rFonts w:hint="eastAsia" w:ascii="TimesNewRoman" w:hAnsi="TimesNewRoman" w:eastAsia="仿宋_GB2312" w:cs="TimesNewRoman"/>
          <w:kern w:val="0"/>
          <w:sz w:val="32"/>
          <w:szCs w:val="32"/>
          <w:lang w:eastAsia="zh-CN"/>
        </w:rPr>
      </w:pPr>
      <w:r>
        <w:rPr>
          <w:rFonts w:hint="eastAsia" w:ascii="TimesNewRoman" w:hAnsi="TimesNewRoman" w:eastAsia="仿宋_GB2312" w:cs="TimesNewRoman"/>
          <w:kern w:val="0"/>
          <w:sz w:val="32"/>
          <w:szCs w:val="32"/>
        </w:rPr>
        <w:t>（3）实施主体</w:t>
      </w:r>
      <w:r>
        <w:rPr>
          <w:rFonts w:hint="eastAsia" w:ascii="TimesNewRoman" w:hAnsi="TimesNewRoman" w:eastAsia="仿宋_GB2312" w:cs="TimesNewRoman"/>
          <w:kern w:val="0"/>
          <w:sz w:val="32"/>
          <w:szCs w:val="32"/>
          <w:lang w:eastAsia="zh-CN"/>
        </w:rPr>
        <w:t>：</w:t>
      </w:r>
      <w:r>
        <w:rPr>
          <w:rFonts w:hint="eastAsia" w:ascii="TimesNewRoman" w:hAnsi="TimesNewRoman" w:eastAsia="仿宋_GB2312" w:cs="TimesNewRoman"/>
          <w:kern w:val="0"/>
          <w:sz w:val="32"/>
          <w:szCs w:val="32"/>
          <w:lang w:val="en-US" w:eastAsia="zh-CN"/>
        </w:rPr>
        <w:t>淮北市住房公积金管理中心</w:t>
      </w:r>
    </w:p>
    <w:p>
      <w:pPr>
        <w:ind w:firstLine="640" w:firstLineChars="200"/>
        <w:rPr>
          <w:rFonts w:hint="default" w:ascii="TimesNewRoman" w:hAnsi="TimesNewRoman" w:eastAsia="仿宋_GB2312" w:cs="TimesNewRoman"/>
          <w:kern w:val="0"/>
          <w:sz w:val="32"/>
          <w:szCs w:val="32"/>
          <w:lang w:val="en-US" w:eastAsia="zh-CN"/>
        </w:rPr>
      </w:pPr>
      <w:r>
        <w:rPr>
          <w:rFonts w:hint="eastAsia" w:ascii="TimesNewRoman" w:hAnsi="TimesNewRoman" w:eastAsia="仿宋_GB2312" w:cs="TimesNewRoman"/>
          <w:kern w:val="0"/>
          <w:sz w:val="32"/>
          <w:szCs w:val="32"/>
        </w:rPr>
        <w:t>（4）起止时间</w:t>
      </w:r>
      <w:r>
        <w:rPr>
          <w:rFonts w:hint="eastAsia" w:ascii="TimesNewRoman" w:hAnsi="TimesNewRoman" w:eastAsia="仿宋_GB2312" w:cs="TimesNewRoman"/>
          <w:kern w:val="0"/>
          <w:sz w:val="32"/>
          <w:szCs w:val="32"/>
          <w:lang w:eastAsia="zh-CN"/>
        </w:rPr>
        <w:t>：</w:t>
      </w:r>
      <w:r>
        <w:rPr>
          <w:rFonts w:hint="default" w:ascii="TimesNewRoman" w:hAnsi="TimesNewRoman" w:eastAsia="仿宋_GB2312" w:cs="TimesNewRoman"/>
          <w:kern w:val="0"/>
          <w:sz w:val="32"/>
          <w:szCs w:val="32"/>
          <w:lang w:val="en-US"/>
        </w:rPr>
        <w:t>2024</w:t>
      </w:r>
      <w:r>
        <w:rPr>
          <w:rFonts w:hint="eastAsia" w:ascii="TimesNewRoman" w:hAnsi="TimesNewRoman" w:eastAsia="仿宋_GB2312" w:cs="TimesNewRoman"/>
          <w:kern w:val="0"/>
          <w:sz w:val="32"/>
          <w:szCs w:val="32"/>
          <w:lang w:val="en-US" w:eastAsia="zh-CN"/>
        </w:rPr>
        <w:t>年</w:t>
      </w:r>
      <w:r>
        <w:rPr>
          <w:rFonts w:hint="default" w:ascii="TimesNewRoman" w:hAnsi="TimesNewRoman" w:eastAsia="仿宋_GB2312" w:cs="TimesNewRoman"/>
          <w:kern w:val="0"/>
          <w:sz w:val="32"/>
          <w:szCs w:val="32"/>
          <w:lang w:val="en-US" w:eastAsia="zh-CN"/>
        </w:rPr>
        <w:t>1~12</w:t>
      </w:r>
      <w:r>
        <w:rPr>
          <w:rFonts w:hint="eastAsia" w:ascii="TimesNewRoman" w:hAnsi="TimesNewRoman" w:eastAsia="仿宋_GB2312" w:cs="TimesNewRoman"/>
          <w:kern w:val="0"/>
          <w:sz w:val="32"/>
          <w:szCs w:val="32"/>
          <w:lang w:val="en-US" w:eastAsia="zh-CN"/>
        </w:rPr>
        <w:t>月</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5）项目内容。根据《住房公积金业务档案管理标准》要求，推动电子资源管理平台与中心现有系统进行接口对接方式，实现电子资源管理平台与业务系统的无缝衔接，全方位的提升中心的电子资料管理、利用开发、数据共享服务能力。</w:t>
      </w:r>
    </w:p>
    <w:p>
      <w:pPr>
        <w:ind w:firstLine="640" w:firstLineChars="200"/>
        <w:rPr>
          <w:rFonts w:hint="eastAsia" w:ascii="TimesNewRoman" w:hAnsi="TimesNewRoman" w:eastAsia="仿宋_GB2312" w:cs="TimesNewRoman"/>
          <w:kern w:val="0"/>
          <w:sz w:val="32"/>
          <w:szCs w:val="32"/>
          <w:lang w:val="en-US" w:eastAsia="zh-CN"/>
        </w:rPr>
      </w:pPr>
      <w:r>
        <w:rPr>
          <w:rFonts w:hint="eastAsia" w:ascii="TimesNewRoman" w:hAnsi="TimesNewRoman" w:eastAsia="仿宋_GB2312" w:cs="TimesNewRoman"/>
          <w:kern w:val="0"/>
          <w:sz w:val="32"/>
          <w:szCs w:val="32"/>
        </w:rPr>
        <w:t>（6）年度预算安排60</w:t>
      </w:r>
      <w:r>
        <w:rPr>
          <w:rFonts w:hint="default" w:ascii="TimesNewRoman" w:hAnsi="TimesNewRoman" w:eastAsia="仿宋_GB2312" w:cs="TimesNewRoman"/>
          <w:kern w:val="0"/>
          <w:sz w:val="32"/>
          <w:szCs w:val="32"/>
          <w:lang w:val="en-US"/>
        </w:rPr>
        <w:t>.</w:t>
      </w:r>
      <w:r>
        <w:rPr>
          <w:rFonts w:hint="eastAsia" w:ascii="TimesNewRoman" w:hAnsi="TimesNewRoman" w:eastAsia="仿宋_GB2312" w:cs="TimesNewRoman"/>
          <w:kern w:val="0"/>
          <w:sz w:val="32"/>
          <w:szCs w:val="32"/>
        </w:rPr>
        <w:t>75</w:t>
      </w:r>
      <w:r>
        <w:rPr>
          <w:rFonts w:hint="eastAsia" w:ascii="TimesNewRoman" w:hAnsi="TimesNewRoman" w:eastAsia="仿宋_GB2312" w:cs="TimesNewRoman"/>
          <w:kern w:val="0"/>
          <w:sz w:val="32"/>
          <w:szCs w:val="32"/>
          <w:lang w:val="en-US" w:eastAsia="zh-CN"/>
        </w:rPr>
        <w:t>万元。</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（7）绩效目标。</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723"/>
        <w:gridCol w:w="282"/>
        <w:gridCol w:w="477"/>
        <w:gridCol w:w="2872"/>
        <w:gridCol w:w="1848"/>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9020" w:type="dxa"/>
            <w:gridSpan w:val="7"/>
            <w:tcBorders>
              <w:top w:val="nil"/>
              <w:left w:val="nil"/>
              <w:bottom w:val="nil"/>
              <w:right w:val="nil"/>
            </w:tcBorders>
            <w:vAlign w:val="center"/>
          </w:tcPr>
          <w:p>
            <w:pPr>
              <w:widowControl/>
              <w:jc w:val="center"/>
              <w:textAlignment w:val="center"/>
              <w:rPr>
                <w:rFonts w:ascii="宋体" w:cs="宋体"/>
                <w:b/>
                <w:bCs/>
                <w:szCs w:val="32"/>
              </w:rPr>
            </w:pPr>
            <w:r>
              <w:rPr>
                <w:rFonts w:hint="eastAsia" w:ascii="宋体" w:hAnsi="宋体" w:eastAsia="宋体" w:cs="宋体"/>
                <w:b/>
                <w:color w:val="000000"/>
                <w:kern w:val="0"/>
                <w:sz w:val="28"/>
                <w:szCs w:val="28"/>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020" w:type="dxa"/>
            <w:gridSpan w:val="7"/>
            <w:tcBorders>
              <w:top w:val="nil"/>
              <w:left w:val="nil"/>
              <w:right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 xml:space="preserve"> （2024年度）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项目名称</w:t>
            </w:r>
          </w:p>
        </w:tc>
        <w:tc>
          <w:tcPr>
            <w:tcW w:w="7577" w:type="dxa"/>
            <w:gridSpan w:val="4"/>
            <w:tcBorders>
              <w:tl2br w:val="nil"/>
              <w:tr2bl w:val="nil"/>
            </w:tcBorders>
            <w:vAlign w:val="center"/>
          </w:tcPr>
          <w:p>
            <w:pPr>
              <w:jc w:val="center"/>
              <w:rPr>
                <w:rFonts w:ascii="宋体" w:cs="宋体"/>
                <w:sz w:val="20"/>
              </w:rPr>
            </w:pPr>
            <w:r>
              <w:rPr>
                <w:rFonts w:hint="eastAsia" w:ascii="宋体" w:cs="宋体"/>
                <w:sz w:val="20"/>
              </w:rPr>
              <w:t>电子资源管理平台(尾款)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443" w:type="dxa"/>
            <w:gridSpan w:val="3"/>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主管部门   及代码</w:t>
            </w:r>
          </w:p>
        </w:tc>
        <w:tc>
          <w:tcPr>
            <w:tcW w:w="3349" w:type="dxa"/>
            <w:gridSpan w:val="2"/>
            <w:tcBorders>
              <w:tl2br w:val="nil"/>
              <w:tr2bl w:val="nil"/>
            </w:tcBorders>
            <w:vAlign w:val="center"/>
          </w:tcPr>
          <w:p>
            <w:pPr>
              <w:jc w:val="center"/>
              <w:rPr>
                <w:rFonts w:hint="eastAsia" w:ascii="宋体" w:cs="宋体" w:eastAsiaTheme="minorEastAsia"/>
                <w:sz w:val="20"/>
                <w:lang w:val="en-US" w:eastAsia="zh-CN"/>
              </w:rPr>
            </w:pPr>
            <w:r>
              <w:rPr>
                <w:rFonts w:hint="eastAsia" w:ascii="宋体" w:cs="宋体"/>
                <w:sz w:val="20"/>
                <w:lang w:val="en-US" w:eastAsia="zh-CN"/>
              </w:rPr>
              <w:t>淮北市住房公积金管理中心</w:t>
            </w:r>
          </w:p>
        </w:tc>
        <w:tc>
          <w:tcPr>
            <w:tcW w:w="1848" w:type="dxa"/>
            <w:tcBorders>
              <w:tl2br w:val="nil"/>
              <w:tr2bl w:val="nil"/>
            </w:tcBorders>
            <w:vAlign w:val="center"/>
          </w:tcPr>
          <w:p>
            <w:pPr>
              <w:widowControl/>
              <w:jc w:val="center"/>
              <w:textAlignment w:val="center"/>
            </w:pPr>
            <w:r>
              <w:rPr>
                <w:rFonts w:hint="eastAsia" w:ascii="宋体" w:hAnsi="宋体" w:eastAsia="宋体" w:cs="宋体"/>
                <w:color w:val="000000"/>
                <w:kern w:val="0"/>
                <w:sz w:val="20"/>
                <w:szCs w:val="20"/>
              </w:rPr>
              <w:t>实施单位</w:t>
            </w:r>
          </w:p>
        </w:tc>
        <w:tc>
          <w:tcPr>
            <w:tcW w:w="2380" w:type="dxa"/>
            <w:tcBorders>
              <w:tl2br w:val="nil"/>
              <w:tr2bl w:val="nil"/>
            </w:tcBorders>
            <w:vAlign w:val="center"/>
          </w:tcPr>
          <w:p>
            <w:pPr>
              <w:jc w:val="center"/>
              <w:rPr>
                <w:rFonts w:hint="eastAsia" w:eastAsiaTheme="minorEastAsia"/>
                <w:lang w:val="en-US" w:eastAsia="zh-CN"/>
              </w:rPr>
            </w:pPr>
            <w:r>
              <w:rPr>
                <w:rFonts w:hint="eastAsia"/>
                <w:lang w:val="en-US" w:eastAsia="zh-CN"/>
              </w:rPr>
              <w:t>淮北市住房公积金管理中心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项目来源</w:t>
            </w:r>
          </w:p>
        </w:tc>
        <w:tc>
          <w:tcPr>
            <w:tcW w:w="3349" w:type="dxa"/>
            <w:gridSpan w:val="2"/>
            <w:tcBorders>
              <w:tl2br w:val="nil"/>
              <w:tr2bl w:val="nil"/>
            </w:tcBorders>
            <w:vAlign w:val="center"/>
          </w:tcPr>
          <w:p>
            <w:pPr>
              <w:jc w:val="center"/>
              <w:rPr>
                <w:rFonts w:hint="eastAsia" w:ascii="宋体" w:cs="宋体" w:eastAsiaTheme="minorEastAsia"/>
                <w:sz w:val="20"/>
                <w:lang w:val="en-US" w:eastAsia="zh-CN"/>
              </w:rPr>
            </w:pPr>
            <w:r>
              <w:rPr>
                <w:rFonts w:hint="eastAsia" w:ascii="宋体" w:cs="宋体"/>
                <w:sz w:val="20"/>
                <w:lang w:val="en-US" w:eastAsia="zh-CN"/>
              </w:rPr>
              <w:t>单位申请</w:t>
            </w:r>
          </w:p>
        </w:tc>
        <w:tc>
          <w:tcPr>
            <w:tcW w:w="1848" w:type="dxa"/>
            <w:tcBorders>
              <w:tl2br w:val="nil"/>
              <w:tr2bl w:val="nil"/>
            </w:tcBorders>
            <w:vAlign w:val="center"/>
          </w:tcPr>
          <w:p>
            <w:pPr>
              <w:widowControl/>
              <w:jc w:val="center"/>
              <w:textAlignment w:val="center"/>
            </w:pPr>
            <w:r>
              <w:rPr>
                <w:rFonts w:hint="eastAsia" w:ascii="宋体" w:hAnsi="宋体" w:eastAsia="宋体" w:cs="宋体"/>
                <w:color w:val="000000"/>
                <w:kern w:val="0"/>
                <w:sz w:val="20"/>
                <w:szCs w:val="20"/>
              </w:rPr>
              <w:t>项目期</w:t>
            </w:r>
          </w:p>
        </w:tc>
        <w:tc>
          <w:tcPr>
            <w:tcW w:w="2380" w:type="dxa"/>
            <w:tcBorders>
              <w:tl2br w:val="nil"/>
              <w:tr2bl w:val="nil"/>
            </w:tcBorders>
            <w:vAlign w:val="center"/>
          </w:tcPr>
          <w:p>
            <w:pPr>
              <w:jc w:val="center"/>
              <w:rPr>
                <w:rFonts w:hint="default" w:eastAsiaTheme="minorEastAsia"/>
                <w:lang w:val="en-US" w:eastAsia="zh-CN"/>
              </w:rPr>
            </w:pPr>
            <w:r>
              <w:rPr>
                <w:rFonts w:hint="eastAsia"/>
                <w:lang w:val="en-US" w:eastAsia="zh-CN"/>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项目资金</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（万元）</w:t>
            </w: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年度资金总额：</w:t>
            </w:r>
          </w:p>
        </w:tc>
        <w:tc>
          <w:tcPr>
            <w:tcW w:w="4228" w:type="dxa"/>
            <w:gridSpan w:val="2"/>
            <w:tcBorders>
              <w:tl2br w:val="nil"/>
              <w:tr2bl w:val="nil"/>
            </w:tcBorders>
            <w:vAlign w:val="center"/>
          </w:tcPr>
          <w:p>
            <w:pPr>
              <w:jc w:val="right"/>
              <w:rPr>
                <w:rFonts w:ascii="宋体" w:cs="宋体"/>
                <w:sz w:val="20"/>
              </w:rPr>
            </w:pPr>
            <w:r>
              <w:rPr>
                <w:rFonts w:hint="eastAsia" w:ascii="宋体" w:cs="宋体"/>
                <w:sz w:val="20"/>
              </w:rPr>
              <w:t>60.75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宋体" w:cs="宋体"/>
                <w:sz w:val="20"/>
              </w:rPr>
            </w:pP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其中：财政拨款</w:t>
            </w:r>
          </w:p>
        </w:tc>
        <w:tc>
          <w:tcPr>
            <w:tcW w:w="4228" w:type="dxa"/>
            <w:gridSpan w:val="2"/>
            <w:tcBorders>
              <w:tl2br w:val="nil"/>
              <w:tr2bl w:val="nil"/>
            </w:tcBorders>
            <w:vAlign w:val="center"/>
          </w:tcPr>
          <w:p>
            <w:pPr>
              <w:jc w:val="right"/>
              <w:rPr>
                <w:rFonts w:ascii="宋体" w:cs="宋体"/>
                <w:sz w:val="20"/>
              </w:rPr>
            </w:pPr>
            <w:r>
              <w:rPr>
                <w:rFonts w:hint="eastAsia" w:ascii="宋体" w:cs="宋体"/>
                <w:sz w:val="20"/>
              </w:rPr>
              <w:t>60.75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宋体" w:cs="宋体"/>
                <w:sz w:val="20"/>
              </w:rPr>
            </w:pP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上年结转</w:t>
            </w:r>
          </w:p>
        </w:tc>
        <w:tc>
          <w:tcPr>
            <w:tcW w:w="4228" w:type="dxa"/>
            <w:gridSpan w:val="2"/>
            <w:tcBorders>
              <w:tl2br w:val="nil"/>
              <w:tr2bl w:val="nil"/>
            </w:tcBorders>
            <w:vAlign w:val="center"/>
          </w:tcPr>
          <w:p>
            <w:pPr>
              <w:jc w:val="center"/>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宋体" w:cs="宋体"/>
                <w:sz w:val="20"/>
              </w:rPr>
            </w:pP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其他资金</w:t>
            </w:r>
          </w:p>
        </w:tc>
        <w:tc>
          <w:tcPr>
            <w:tcW w:w="4228" w:type="dxa"/>
            <w:gridSpan w:val="2"/>
            <w:tcBorders>
              <w:tl2br w:val="nil"/>
              <w:tr2bl w:val="nil"/>
            </w:tcBorders>
            <w:vAlign w:val="center"/>
          </w:tcPr>
          <w:p>
            <w:pPr>
              <w:jc w:val="right"/>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438" w:type="dxa"/>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年度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目标</w:t>
            </w:r>
          </w:p>
        </w:tc>
        <w:tc>
          <w:tcPr>
            <w:tcW w:w="8582" w:type="dxa"/>
            <w:gridSpan w:val="6"/>
            <w:tcBorders>
              <w:tl2br w:val="nil"/>
              <w:tr2bl w:val="nil"/>
            </w:tcBorders>
            <w:vAlign w:val="center"/>
          </w:tcPr>
          <w:p>
            <w:pPr>
              <w:jc w:val="center"/>
              <w:rPr>
                <w:rFonts w:ascii="宋体" w:cs="宋体"/>
                <w:sz w:val="20"/>
              </w:rPr>
            </w:pPr>
            <w:r>
              <w:rPr>
                <w:rFonts w:hint="eastAsia" w:ascii="宋体" w:cs="宋体"/>
                <w:sz w:val="20"/>
              </w:rPr>
              <w:t>按合同约定支付。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438" w:type="dxa"/>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绩</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效</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标</w:t>
            </w:r>
          </w:p>
        </w:tc>
        <w:tc>
          <w:tcPr>
            <w:tcW w:w="723" w:type="dxa"/>
            <w:tcBorders>
              <w:tl2br w:val="nil"/>
              <w:tr2bl w:val="nil"/>
            </w:tcBorders>
            <w:vAlign w:val="center"/>
          </w:tcPr>
          <w:p>
            <w:pPr>
              <w:jc w:val="center"/>
              <w:rPr>
                <w:rFonts w:ascii="宋体" w:cs="宋体"/>
                <w:sz w:val="20"/>
              </w:rPr>
            </w:pPr>
            <w:r>
              <w:rPr>
                <w:rFonts w:hint="eastAsia" w:ascii="宋体" w:cs="宋体"/>
                <w:sz w:val="20"/>
              </w:rPr>
              <w:t>一级</w:t>
            </w:r>
            <w:r>
              <w:rPr>
                <w:rFonts w:hint="eastAsia" w:ascii="宋体" w:cs="宋体"/>
                <w:sz w:val="20"/>
              </w:rPr>
              <w:br w:type="textWrapping"/>
            </w:r>
            <w:r>
              <w:rPr>
                <w:rFonts w:hint="eastAsia" w:ascii="宋体" w:cs="宋体"/>
                <w:sz w:val="20"/>
              </w:rPr>
              <w:t>指标</w:t>
            </w:r>
          </w:p>
        </w:tc>
        <w:tc>
          <w:tcPr>
            <w:tcW w:w="759" w:type="dxa"/>
            <w:gridSpan w:val="2"/>
            <w:tcBorders>
              <w:tl2br w:val="nil"/>
              <w:tr2bl w:val="nil"/>
            </w:tcBorders>
            <w:vAlign w:val="center"/>
          </w:tcPr>
          <w:p>
            <w:pPr>
              <w:jc w:val="center"/>
              <w:rPr>
                <w:rFonts w:ascii="宋体" w:cs="宋体"/>
                <w:sz w:val="20"/>
              </w:rPr>
            </w:pPr>
            <w:r>
              <w:rPr>
                <w:rFonts w:hint="eastAsia" w:ascii="宋体" w:cs="宋体"/>
                <w:sz w:val="20"/>
              </w:rPr>
              <w:t>二级指标</w:t>
            </w:r>
          </w:p>
        </w:tc>
        <w:tc>
          <w:tcPr>
            <w:tcW w:w="2872" w:type="dxa"/>
            <w:tcBorders>
              <w:tl2br w:val="nil"/>
              <w:tr2bl w:val="nil"/>
            </w:tcBorders>
            <w:vAlign w:val="center"/>
          </w:tcPr>
          <w:p>
            <w:pPr>
              <w:jc w:val="left"/>
              <w:rPr>
                <w:rFonts w:ascii="宋体" w:cs="宋体"/>
                <w:sz w:val="20"/>
              </w:rPr>
            </w:pPr>
            <w:r>
              <w:rPr>
                <w:rFonts w:hint="eastAsia" w:ascii="宋体" w:cs="宋体"/>
                <w:sz w:val="20"/>
              </w:rPr>
              <w:t>三级指标</w:t>
            </w:r>
          </w:p>
        </w:tc>
        <w:tc>
          <w:tcPr>
            <w:tcW w:w="4228" w:type="dxa"/>
            <w:gridSpan w:val="2"/>
            <w:tcBorders>
              <w:tl2br w:val="nil"/>
              <w:tr2bl w:val="nil"/>
            </w:tcBorders>
            <w:vAlign w:val="center"/>
          </w:tcPr>
          <w:p>
            <w:pPr>
              <w:jc w:val="center"/>
              <w:rPr>
                <w:rFonts w:ascii="宋体" w:cs="宋体"/>
                <w:sz w:val="20"/>
              </w:rPr>
            </w:pPr>
            <w:r>
              <w:rPr>
                <w:rFonts w:hint="eastAsia" w:ascii="宋体" w:cs="宋体"/>
                <w:sz w:val="20"/>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restart"/>
            <w:tcBorders>
              <w:tl2br w:val="nil"/>
              <w:tr2bl w:val="nil"/>
            </w:tcBorders>
            <w:vAlign w:val="center"/>
          </w:tcPr>
          <w:p>
            <w:pPr>
              <w:jc w:val="center"/>
              <w:rPr>
                <w:rFonts w:ascii="宋体" w:cs="宋体"/>
                <w:sz w:val="20"/>
              </w:rPr>
            </w:pPr>
            <w:r>
              <w:rPr>
                <w:rFonts w:hint="eastAsia" w:ascii="宋体" w:cs="宋体"/>
                <w:sz w:val="20"/>
              </w:rPr>
              <w:t>产出指标</w:t>
            </w:r>
          </w:p>
        </w:tc>
        <w:tc>
          <w:tcPr>
            <w:tcW w:w="759" w:type="dxa"/>
            <w:gridSpan w:val="2"/>
            <w:tcBorders>
              <w:tl2br w:val="nil"/>
              <w:tr2bl w:val="nil"/>
            </w:tcBorders>
            <w:vAlign w:val="center"/>
          </w:tcPr>
          <w:p>
            <w:pPr>
              <w:jc w:val="center"/>
              <w:rPr>
                <w:rFonts w:ascii="宋体" w:cs="宋体"/>
                <w:sz w:val="20"/>
              </w:rPr>
            </w:pPr>
            <w:r>
              <w:rPr>
                <w:rFonts w:hint="eastAsia" w:ascii="宋体" w:cs="宋体"/>
                <w:sz w:val="20"/>
              </w:rPr>
              <w:t>数量指标</w:t>
            </w:r>
          </w:p>
        </w:tc>
        <w:tc>
          <w:tcPr>
            <w:tcW w:w="2872" w:type="dxa"/>
            <w:tcBorders>
              <w:tl2br w:val="nil"/>
              <w:tr2bl w:val="nil"/>
            </w:tcBorders>
            <w:vAlign w:val="center"/>
          </w:tcPr>
          <w:p>
            <w:pPr>
              <w:jc w:val="left"/>
              <w:rPr>
                <w:rFonts w:hint="eastAsia" w:ascii="宋体" w:cs="宋体"/>
                <w:sz w:val="20"/>
                <w:lang w:eastAsia="zh-CN"/>
              </w:rPr>
            </w:pPr>
            <w:r>
              <w:rPr>
                <w:rFonts w:hint="eastAsia" w:ascii="宋体" w:cs="宋体"/>
                <w:sz w:val="20"/>
              </w:rPr>
              <w:t>指标</w:t>
            </w:r>
            <w:r>
              <w:rPr>
                <w:rFonts w:hint="eastAsia" w:ascii="宋体" w:cs="宋体"/>
                <w:sz w:val="20"/>
                <w:lang w:eastAsia="zh-CN"/>
              </w:rPr>
              <w:t>：</w:t>
            </w:r>
            <w:r>
              <w:rPr>
                <w:rFonts w:ascii="宋体" w:cs="宋体"/>
                <w:sz w:val="20"/>
              </w:rPr>
              <w:t>是否完成绩效目标申报表中申报的数量</w:t>
            </w:r>
          </w:p>
        </w:tc>
        <w:tc>
          <w:tcPr>
            <w:tcW w:w="4228" w:type="dxa"/>
            <w:gridSpan w:val="2"/>
            <w:tcBorders>
              <w:tl2br w:val="nil"/>
              <w:tr2bl w:val="nil"/>
            </w:tcBorders>
            <w:vAlign w:val="center"/>
          </w:tcPr>
          <w:p>
            <w:pPr>
              <w:jc w:val="center"/>
              <w:rPr>
                <w:rFonts w:hint="eastAsia" w:ascii="宋体" w:cs="宋体" w:eastAsiaTheme="minorEastAsia"/>
                <w:sz w:val="20"/>
                <w:lang w:val="en-US" w:eastAsia="zh-CN"/>
              </w:rPr>
            </w:pPr>
            <w:r>
              <w:rPr>
                <w:rFonts w:hint="default" w:ascii="宋体" w:cs="宋体"/>
                <w:sz w:val="20"/>
                <w:lang w:val="en-US"/>
              </w:rPr>
              <w:t>4</w:t>
            </w:r>
            <w:r>
              <w:rPr>
                <w:rFonts w:hint="eastAsia" w:ascii="宋体" w:cs="宋体"/>
                <w:sz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jc w:val="center"/>
              <w:rPr>
                <w:rFonts w:ascii="宋体" w:cs="宋体"/>
                <w:sz w:val="20"/>
              </w:rPr>
            </w:pPr>
            <w:r>
              <w:rPr>
                <w:rFonts w:hint="eastAsia" w:ascii="宋体" w:cs="宋体"/>
                <w:sz w:val="20"/>
              </w:rPr>
              <w:t>质量指标</w:t>
            </w:r>
          </w:p>
        </w:tc>
        <w:tc>
          <w:tcPr>
            <w:tcW w:w="2872" w:type="dxa"/>
            <w:tcBorders>
              <w:tl2br w:val="nil"/>
              <w:tr2bl w:val="nil"/>
            </w:tcBorders>
            <w:vAlign w:val="center"/>
          </w:tcPr>
          <w:p>
            <w:pPr>
              <w:jc w:val="left"/>
              <w:rPr>
                <w:rFonts w:hint="eastAsia" w:ascii="宋体" w:cs="宋体"/>
                <w:sz w:val="20"/>
                <w:lang w:eastAsia="zh-CN"/>
              </w:rPr>
            </w:pPr>
            <w:r>
              <w:rPr>
                <w:rFonts w:hint="eastAsia" w:ascii="宋体" w:cs="宋体"/>
                <w:sz w:val="20"/>
              </w:rPr>
              <w:t>指标</w:t>
            </w:r>
            <w:r>
              <w:rPr>
                <w:rFonts w:hint="eastAsia" w:ascii="宋体" w:cs="宋体"/>
                <w:sz w:val="20"/>
                <w:lang w:eastAsia="zh-CN"/>
              </w:rPr>
              <w:t>：</w:t>
            </w:r>
            <w:r>
              <w:rPr>
                <w:rFonts w:ascii="宋体" w:cs="宋体"/>
                <w:sz w:val="20"/>
              </w:rPr>
              <w:t>是否达到相关规定的标准和要求</w:t>
            </w:r>
          </w:p>
        </w:tc>
        <w:tc>
          <w:tcPr>
            <w:tcW w:w="4228" w:type="dxa"/>
            <w:gridSpan w:val="2"/>
            <w:tcBorders>
              <w:tl2br w:val="nil"/>
              <w:tr2bl w:val="nil"/>
            </w:tcBorders>
            <w:vAlign w:val="center"/>
          </w:tcPr>
          <w:p>
            <w:pPr>
              <w:jc w:val="center"/>
              <w:rPr>
                <w:rFonts w:ascii="宋体" w:cs="宋体"/>
                <w:sz w:val="20"/>
              </w:rPr>
            </w:pPr>
            <w:r>
              <w:rPr>
                <w:rFonts w:ascii="宋体" w:cs="宋体"/>
                <w:sz w:val="20"/>
              </w:rPr>
              <w:t>建设电子资源管理平台，完成财务电子凭证系统、存证留痕系统，实现业务材料复用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jc w:val="center"/>
              <w:rPr>
                <w:rFonts w:ascii="宋体" w:cs="宋体"/>
                <w:sz w:val="20"/>
              </w:rPr>
            </w:pPr>
            <w:r>
              <w:rPr>
                <w:rFonts w:hint="eastAsia" w:ascii="宋体" w:cs="宋体"/>
                <w:sz w:val="20"/>
              </w:rPr>
              <w:t>时效指标</w:t>
            </w:r>
          </w:p>
        </w:tc>
        <w:tc>
          <w:tcPr>
            <w:tcW w:w="2872" w:type="dxa"/>
            <w:tcBorders>
              <w:tl2br w:val="nil"/>
              <w:tr2bl w:val="nil"/>
            </w:tcBorders>
            <w:vAlign w:val="center"/>
          </w:tcPr>
          <w:p>
            <w:pPr>
              <w:jc w:val="left"/>
              <w:rPr>
                <w:rFonts w:hint="eastAsia" w:ascii="宋体" w:cs="宋体"/>
                <w:sz w:val="20"/>
                <w:lang w:eastAsia="zh-CN"/>
              </w:rPr>
            </w:pPr>
            <w:r>
              <w:rPr>
                <w:rFonts w:hint="eastAsia" w:ascii="宋体" w:cs="宋体"/>
                <w:sz w:val="20"/>
              </w:rPr>
              <w:t>指标</w:t>
            </w:r>
            <w:r>
              <w:rPr>
                <w:rFonts w:hint="eastAsia" w:ascii="宋体" w:cs="宋体"/>
                <w:sz w:val="20"/>
                <w:lang w:eastAsia="zh-CN"/>
              </w:rPr>
              <w:t>：</w:t>
            </w:r>
            <w:r>
              <w:rPr>
                <w:rFonts w:ascii="宋体" w:cs="宋体"/>
                <w:sz w:val="20"/>
              </w:rPr>
              <w:t>是否按时保质保量完成</w:t>
            </w:r>
          </w:p>
        </w:tc>
        <w:tc>
          <w:tcPr>
            <w:tcW w:w="4228" w:type="dxa"/>
            <w:gridSpan w:val="2"/>
            <w:tcBorders>
              <w:tl2br w:val="nil"/>
              <w:tr2bl w:val="nil"/>
            </w:tcBorders>
            <w:vAlign w:val="center"/>
          </w:tcPr>
          <w:p>
            <w:pPr>
              <w:jc w:val="center"/>
              <w:rPr>
                <w:rFonts w:ascii="宋体" w:cs="宋体"/>
                <w:sz w:val="20"/>
              </w:rPr>
            </w:pPr>
            <w:r>
              <w:rPr>
                <w:rFonts w:ascii="宋体" w:cs="宋体"/>
                <w:sz w:val="20"/>
              </w:rPr>
              <w:t>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jc w:val="center"/>
              <w:rPr>
                <w:rFonts w:ascii="宋体" w:cs="宋体"/>
                <w:sz w:val="20"/>
              </w:rPr>
            </w:pPr>
            <w:r>
              <w:rPr>
                <w:rFonts w:hint="eastAsia" w:ascii="宋体" w:cs="宋体"/>
                <w:sz w:val="20"/>
              </w:rPr>
              <w:t>成本指标</w:t>
            </w:r>
          </w:p>
        </w:tc>
        <w:tc>
          <w:tcPr>
            <w:tcW w:w="2872" w:type="dxa"/>
            <w:tcBorders>
              <w:tl2br w:val="nil"/>
              <w:tr2bl w:val="nil"/>
            </w:tcBorders>
            <w:vAlign w:val="center"/>
          </w:tcPr>
          <w:p>
            <w:pPr>
              <w:jc w:val="left"/>
              <w:rPr>
                <w:rFonts w:hint="eastAsia" w:ascii="宋体" w:cs="宋体"/>
                <w:sz w:val="20"/>
                <w:lang w:eastAsia="zh-CN"/>
              </w:rPr>
            </w:pPr>
            <w:r>
              <w:rPr>
                <w:rFonts w:hint="eastAsia" w:ascii="宋体" w:cs="宋体"/>
                <w:sz w:val="20"/>
              </w:rPr>
              <w:t>指标</w:t>
            </w:r>
            <w:r>
              <w:rPr>
                <w:rFonts w:hint="eastAsia" w:ascii="宋体" w:cs="宋体"/>
                <w:sz w:val="20"/>
                <w:lang w:eastAsia="zh-CN"/>
              </w:rPr>
              <w:t>：</w:t>
            </w:r>
            <w:r>
              <w:rPr>
                <w:rFonts w:ascii="宋体" w:cs="宋体"/>
                <w:sz w:val="20"/>
              </w:rPr>
              <w:t>是否在预设成本总量控制范围内</w:t>
            </w:r>
          </w:p>
        </w:tc>
        <w:tc>
          <w:tcPr>
            <w:tcW w:w="4228" w:type="dxa"/>
            <w:gridSpan w:val="2"/>
            <w:tcBorders>
              <w:tl2br w:val="nil"/>
              <w:tr2bl w:val="nil"/>
            </w:tcBorders>
            <w:vAlign w:val="center"/>
          </w:tcPr>
          <w:p>
            <w:pPr>
              <w:jc w:val="center"/>
              <w:rPr>
                <w:rFonts w:ascii="宋体" w:cs="宋体"/>
                <w:sz w:val="20"/>
              </w:rPr>
            </w:pPr>
            <w:r>
              <w:rPr>
                <w:rFonts w:ascii="宋体" w:cs="宋体"/>
                <w:sz w:val="20"/>
              </w:rPr>
              <w:t>严格按照项目预算执行，不得超支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restart"/>
            <w:tcBorders>
              <w:tl2br w:val="nil"/>
              <w:tr2bl w:val="nil"/>
            </w:tcBorders>
            <w:vAlign w:val="center"/>
          </w:tcPr>
          <w:p>
            <w:pPr>
              <w:jc w:val="center"/>
              <w:rPr>
                <w:rFonts w:ascii="宋体" w:cs="宋体"/>
                <w:sz w:val="20"/>
              </w:rPr>
            </w:pPr>
            <w:r>
              <w:rPr>
                <w:rFonts w:hint="eastAsia" w:ascii="宋体" w:cs="宋体"/>
                <w:sz w:val="20"/>
              </w:rPr>
              <w:t>效益指标</w:t>
            </w:r>
          </w:p>
        </w:tc>
        <w:tc>
          <w:tcPr>
            <w:tcW w:w="759" w:type="dxa"/>
            <w:gridSpan w:val="2"/>
            <w:tcBorders>
              <w:tl2br w:val="nil"/>
              <w:tr2bl w:val="nil"/>
            </w:tcBorders>
            <w:vAlign w:val="center"/>
          </w:tcPr>
          <w:p>
            <w:pPr>
              <w:jc w:val="center"/>
              <w:rPr>
                <w:rFonts w:ascii="宋体" w:cs="宋体"/>
                <w:sz w:val="20"/>
              </w:rPr>
            </w:pPr>
            <w:r>
              <w:rPr>
                <w:rFonts w:hint="eastAsia" w:ascii="宋体" w:cs="宋体"/>
                <w:sz w:val="20"/>
              </w:rPr>
              <w:t>经济效益指标</w:t>
            </w:r>
          </w:p>
        </w:tc>
        <w:tc>
          <w:tcPr>
            <w:tcW w:w="2872" w:type="dxa"/>
            <w:tcBorders>
              <w:tl2br w:val="nil"/>
              <w:tr2bl w:val="nil"/>
            </w:tcBorders>
            <w:vAlign w:val="center"/>
          </w:tcPr>
          <w:p>
            <w:pPr>
              <w:jc w:val="left"/>
              <w:rPr>
                <w:rFonts w:hint="eastAsia" w:ascii="宋体" w:cs="宋体"/>
                <w:sz w:val="20"/>
                <w:lang w:eastAsia="zh-CN"/>
              </w:rPr>
            </w:pPr>
            <w:r>
              <w:rPr>
                <w:rFonts w:hint="eastAsia" w:ascii="宋体" w:cs="宋体"/>
                <w:sz w:val="20"/>
              </w:rPr>
              <w:t>指标</w:t>
            </w:r>
            <w:r>
              <w:rPr>
                <w:rFonts w:hint="eastAsia" w:ascii="宋体" w:cs="宋体"/>
                <w:sz w:val="20"/>
                <w:lang w:eastAsia="zh-CN"/>
              </w:rPr>
              <w:t>：</w:t>
            </w:r>
            <w:r>
              <w:rPr>
                <w:rFonts w:ascii="宋体" w:cs="宋体"/>
                <w:sz w:val="20"/>
              </w:rPr>
              <w:t>是否节省缴存职工办理成本</w:t>
            </w:r>
          </w:p>
        </w:tc>
        <w:tc>
          <w:tcPr>
            <w:tcW w:w="4228" w:type="dxa"/>
            <w:gridSpan w:val="2"/>
            <w:tcBorders>
              <w:tl2br w:val="nil"/>
              <w:tr2bl w:val="nil"/>
            </w:tcBorders>
            <w:vAlign w:val="center"/>
          </w:tcPr>
          <w:p>
            <w:pPr>
              <w:jc w:val="center"/>
              <w:rPr>
                <w:rFonts w:ascii="宋体" w:cs="宋体"/>
                <w:sz w:val="20"/>
              </w:rPr>
            </w:pPr>
            <w:r>
              <w:rPr>
                <w:rFonts w:ascii="宋体" w:cs="宋体"/>
                <w:sz w:val="20"/>
              </w:rPr>
              <w:t>无需到达现场，实现远程办理，节约路程成本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jc w:val="center"/>
              <w:rPr>
                <w:rFonts w:ascii="宋体" w:cs="宋体"/>
                <w:sz w:val="20"/>
              </w:rPr>
            </w:pPr>
            <w:r>
              <w:rPr>
                <w:rFonts w:hint="eastAsia" w:ascii="宋体" w:cs="宋体"/>
                <w:sz w:val="20"/>
              </w:rPr>
              <w:t>社会效益指标</w:t>
            </w:r>
          </w:p>
        </w:tc>
        <w:tc>
          <w:tcPr>
            <w:tcW w:w="2872" w:type="dxa"/>
            <w:tcBorders>
              <w:tl2br w:val="nil"/>
              <w:tr2bl w:val="nil"/>
            </w:tcBorders>
            <w:vAlign w:val="center"/>
          </w:tcPr>
          <w:p>
            <w:pPr>
              <w:jc w:val="left"/>
              <w:rPr>
                <w:rFonts w:hint="eastAsia" w:ascii="宋体" w:cs="宋体"/>
                <w:sz w:val="20"/>
                <w:lang w:eastAsia="zh-CN"/>
              </w:rPr>
            </w:pPr>
            <w:r>
              <w:rPr>
                <w:rFonts w:hint="eastAsia" w:ascii="宋体" w:cs="宋体"/>
                <w:sz w:val="20"/>
              </w:rPr>
              <w:t>指标</w:t>
            </w:r>
            <w:r>
              <w:rPr>
                <w:rFonts w:hint="eastAsia" w:ascii="宋体" w:cs="宋体"/>
                <w:sz w:val="20"/>
                <w:lang w:eastAsia="zh-CN"/>
              </w:rPr>
              <w:t>：</w:t>
            </w:r>
            <w:r>
              <w:rPr>
                <w:rFonts w:ascii="宋体" w:cs="宋体"/>
                <w:sz w:val="20"/>
              </w:rPr>
              <w:t>是否方便缴存职工在线办理</w:t>
            </w:r>
          </w:p>
        </w:tc>
        <w:tc>
          <w:tcPr>
            <w:tcW w:w="4228" w:type="dxa"/>
            <w:gridSpan w:val="2"/>
            <w:tcBorders>
              <w:tl2br w:val="nil"/>
              <w:tr2bl w:val="nil"/>
            </w:tcBorders>
            <w:vAlign w:val="center"/>
          </w:tcPr>
          <w:p>
            <w:pPr>
              <w:jc w:val="center"/>
              <w:rPr>
                <w:rFonts w:ascii="宋体" w:cs="宋体"/>
                <w:sz w:val="20"/>
              </w:rPr>
            </w:pPr>
            <w:r>
              <w:rPr>
                <w:rFonts w:ascii="宋体" w:cs="宋体"/>
                <w:sz w:val="20"/>
              </w:rPr>
              <w:t>为在线办理各类住房公积金业务提供平台支撑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jc w:val="center"/>
              <w:rPr>
                <w:rFonts w:ascii="宋体" w:cs="宋体"/>
                <w:sz w:val="20"/>
              </w:rPr>
            </w:pPr>
            <w:r>
              <w:rPr>
                <w:rFonts w:hint="eastAsia" w:ascii="宋体" w:cs="宋体"/>
                <w:sz w:val="20"/>
              </w:rPr>
              <w:t>生态效益指标</w:t>
            </w:r>
          </w:p>
        </w:tc>
        <w:tc>
          <w:tcPr>
            <w:tcW w:w="2872" w:type="dxa"/>
            <w:tcBorders>
              <w:tl2br w:val="nil"/>
              <w:tr2bl w:val="nil"/>
            </w:tcBorders>
            <w:vAlign w:val="center"/>
          </w:tcPr>
          <w:p>
            <w:pPr>
              <w:jc w:val="left"/>
              <w:rPr>
                <w:rFonts w:hint="eastAsia" w:ascii="宋体" w:cs="宋体"/>
                <w:sz w:val="20"/>
                <w:lang w:eastAsia="zh-CN"/>
              </w:rPr>
            </w:pPr>
            <w:r>
              <w:rPr>
                <w:rFonts w:hint="eastAsia" w:ascii="宋体" w:cs="宋体"/>
                <w:sz w:val="20"/>
              </w:rPr>
              <w:t>指标</w:t>
            </w:r>
            <w:r>
              <w:rPr>
                <w:rFonts w:hint="eastAsia" w:ascii="宋体" w:cs="宋体"/>
                <w:sz w:val="20"/>
                <w:lang w:eastAsia="zh-CN"/>
              </w:rPr>
              <w:t>：</w:t>
            </w:r>
            <w:r>
              <w:rPr>
                <w:rFonts w:ascii="宋体" w:cs="宋体"/>
                <w:sz w:val="20"/>
              </w:rPr>
              <w:t>是否增加办理材料</w:t>
            </w:r>
          </w:p>
        </w:tc>
        <w:tc>
          <w:tcPr>
            <w:tcW w:w="4228" w:type="dxa"/>
            <w:gridSpan w:val="2"/>
            <w:tcBorders>
              <w:tl2br w:val="nil"/>
              <w:tr2bl w:val="nil"/>
            </w:tcBorders>
            <w:vAlign w:val="center"/>
          </w:tcPr>
          <w:p>
            <w:pPr>
              <w:jc w:val="center"/>
              <w:rPr>
                <w:rFonts w:ascii="宋体" w:cs="宋体"/>
                <w:sz w:val="20"/>
              </w:rPr>
            </w:pPr>
            <w:r>
              <w:rPr>
                <w:rFonts w:ascii="宋体" w:cs="宋体"/>
                <w:sz w:val="20"/>
              </w:rPr>
              <w:t>无需提供材料复印件，拍照上传即可，实现无纸化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jc w:val="center"/>
              <w:rPr>
                <w:rFonts w:ascii="宋体" w:cs="宋体"/>
                <w:sz w:val="20"/>
              </w:rPr>
            </w:pPr>
            <w:r>
              <w:rPr>
                <w:rFonts w:hint="eastAsia" w:ascii="宋体" w:cs="宋体"/>
                <w:sz w:val="20"/>
              </w:rPr>
              <w:t>可持续影响指标</w:t>
            </w:r>
          </w:p>
        </w:tc>
        <w:tc>
          <w:tcPr>
            <w:tcW w:w="2872" w:type="dxa"/>
            <w:tcBorders>
              <w:tl2br w:val="nil"/>
              <w:tr2bl w:val="nil"/>
            </w:tcBorders>
            <w:vAlign w:val="center"/>
          </w:tcPr>
          <w:p>
            <w:pPr>
              <w:jc w:val="left"/>
              <w:rPr>
                <w:rFonts w:hint="eastAsia" w:ascii="宋体" w:cs="宋体"/>
                <w:sz w:val="20"/>
                <w:lang w:eastAsia="zh-CN"/>
              </w:rPr>
            </w:pPr>
            <w:r>
              <w:rPr>
                <w:rFonts w:hint="eastAsia" w:ascii="宋体" w:cs="宋体"/>
                <w:sz w:val="20"/>
              </w:rPr>
              <w:t>指标</w:t>
            </w:r>
            <w:r>
              <w:rPr>
                <w:rFonts w:hint="eastAsia" w:ascii="宋体" w:cs="宋体"/>
                <w:sz w:val="20"/>
                <w:lang w:eastAsia="zh-CN"/>
              </w:rPr>
              <w:t>：</w:t>
            </w:r>
            <w:r>
              <w:rPr>
                <w:rFonts w:ascii="宋体" w:cs="宋体"/>
                <w:sz w:val="20"/>
              </w:rPr>
              <w:t>是否长期有效</w:t>
            </w:r>
          </w:p>
        </w:tc>
        <w:tc>
          <w:tcPr>
            <w:tcW w:w="4228" w:type="dxa"/>
            <w:gridSpan w:val="2"/>
            <w:tcBorders>
              <w:tl2br w:val="nil"/>
              <w:tr2bl w:val="nil"/>
            </w:tcBorders>
            <w:vAlign w:val="center"/>
          </w:tcPr>
          <w:p>
            <w:pPr>
              <w:jc w:val="center"/>
              <w:rPr>
                <w:rFonts w:ascii="宋体" w:cs="宋体"/>
                <w:sz w:val="20"/>
              </w:rPr>
            </w:pPr>
            <w:r>
              <w:rPr>
                <w:rFonts w:ascii="宋体" w:cs="宋体"/>
                <w:sz w:val="20"/>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tcBorders>
              <w:tl2br w:val="nil"/>
              <w:tr2bl w:val="nil"/>
            </w:tcBorders>
            <w:vAlign w:val="center"/>
          </w:tcPr>
          <w:p>
            <w:pPr>
              <w:jc w:val="center"/>
              <w:rPr>
                <w:rFonts w:ascii="宋体" w:cs="宋体"/>
                <w:sz w:val="20"/>
              </w:rPr>
            </w:pPr>
            <w:r>
              <w:rPr>
                <w:rFonts w:hint="eastAsia" w:ascii="宋体" w:cs="宋体"/>
                <w:sz w:val="20"/>
              </w:rPr>
              <w:t>满意度指标</w:t>
            </w:r>
          </w:p>
        </w:tc>
        <w:tc>
          <w:tcPr>
            <w:tcW w:w="759" w:type="dxa"/>
            <w:gridSpan w:val="2"/>
            <w:tcBorders>
              <w:tl2br w:val="nil"/>
              <w:tr2bl w:val="nil"/>
            </w:tcBorders>
            <w:vAlign w:val="center"/>
          </w:tcPr>
          <w:p>
            <w:pPr>
              <w:jc w:val="center"/>
              <w:rPr>
                <w:rFonts w:ascii="宋体" w:cs="宋体"/>
                <w:sz w:val="20"/>
              </w:rPr>
            </w:pPr>
            <w:r>
              <w:rPr>
                <w:rFonts w:hint="eastAsia" w:ascii="宋体" w:cs="宋体"/>
                <w:sz w:val="20"/>
              </w:rPr>
              <w:t>满意度指标</w:t>
            </w:r>
          </w:p>
        </w:tc>
        <w:tc>
          <w:tcPr>
            <w:tcW w:w="2872" w:type="dxa"/>
            <w:tcBorders>
              <w:tl2br w:val="nil"/>
              <w:tr2bl w:val="nil"/>
            </w:tcBorders>
            <w:vAlign w:val="center"/>
          </w:tcPr>
          <w:p>
            <w:pPr>
              <w:jc w:val="left"/>
              <w:rPr>
                <w:rFonts w:hint="eastAsia" w:ascii="宋体" w:cs="宋体"/>
                <w:sz w:val="20"/>
                <w:lang w:eastAsia="zh-CN"/>
              </w:rPr>
            </w:pPr>
            <w:r>
              <w:rPr>
                <w:rFonts w:hint="eastAsia" w:ascii="宋体" w:cs="宋体"/>
                <w:sz w:val="20"/>
              </w:rPr>
              <w:t>指标</w:t>
            </w:r>
            <w:r>
              <w:rPr>
                <w:rFonts w:hint="eastAsia" w:ascii="宋体" w:cs="宋体"/>
                <w:sz w:val="20"/>
                <w:lang w:eastAsia="zh-CN"/>
              </w:rPr>
              <w:t>：</w:t>
            </w:r>
            <w:r>
              <w:rPr>
                <w:rFonts w:ascii="宋体" w:cs="宋体"/>
                <w:sz w:val="20"/>
              </w:rPr>
              <w:t>缴存职工满意度</w:t>
            </w:r>
          </w:p>
        </w:tc>
        <w:tc>
          <w:tcPr>
            <w:tcW w:w="4228" w:type="dxa"/>
            <w:gridSpan w:val="2"/>
            <w:tcBorders>
              <w:tl2br w:val="nil"/>
              <w:tr2bl w:val="nil"/>
            </w:tcBorders>
            <w:vAlign w:val="center"/>
          </w:tcPr>
          <w:p>
            <w:pPr>
              <w:jc w:val="center"/>
              <w:rPr>
                <w:rFonts w:hint="default" w:ascii="宋体" w:cs="宋体"/>
                <w:sz w:val="20"/>
                <w:lang w:val="en-US"/>
              </w:rPr>
            </w:pPr>
            <w:r>
              <w:rPr>
                <w:rFonts w:ascii="宋体" w:cs="宋体"/>
                <w:sz w:val="20"/>
              </w:rPr>
              <w:t>≥90</w:t>
            </w:r>
            <w:r>
              <w:rPr>
                <w:rFonts w:hint="default" w:ascii="宋体" w:cs="宋体"/>
                <w:sz w:val="20"/>
                <w:lang w:val="en-US"/>
              </w:rPr>
              <w:t>%</w:t>
            </w:r>
          </w:p>
        </w:tc>
      </w:tr>
    </w:tbl>
    <w:p>
      <w:pPr>
        <w:ind w:firstLine="420" w:firstLineChars="200"/>
      </w:pPr>
    </w:p>
    <w:p>
      <w:pPr>
        <w:ind w:firstLine="640" w:firstLineChars="200"/>
        <w:rPr>
          <w:rFonts w:ascii="TimesNewRoman" w:hAnsi="TimesNewRoman" w:eastAsia="仿宋_GB2312" w:cs="TimesNewRoman"/>
          <w:kern w:val="0"/>
          <w:sz w:val="32"/>
          <w:szCs w:val="32"/>
        </w:rPr>
      </w:pPr>
      <w:r>
        <w:rPr>
          <w:rFonts w:hint="default" w:ascii="TimesNewRoman" w:hAnsi="TimesNewRoman" w:eastAsia="仿宋_GB2312" w:cs="TimesNewRoman"/>
          <w:kern w:val="0"/>
          <w:sz w:val="32"/>
          <w:szCs w:val="32"/>
          <w:lang w:val="en-US"/>
        </w:rPr>
        <w:t>8</w:t>
      </w:r>
      <w:r>
        <w:rPr>
          <w:rFonts w:hint="eastAsia" w:ascii="TimesNewRoman" w:hAnsi="TimesNewRoman" w:eastAsia="仿宋_GB2312" w:cs="TimesNewRoman"/>
          <w:kern w:val="0"/>
          <w:sz w:val="32"/>
          <w:szCs w:val="32"/>
        </w:rPr>
        <w:t>、“</w:t>
      </w:r>
      <w:r>
        <w:rPr>
          <w:rFonts w:hint="eastAsia" w:ascii="TimesNewRoman" w:hAnsi="TimesNewRoman" w:eastAsia="仿宋_GB2312" w:cs="TimesNewRoman"/>
          <w:kern w:val="0"/>
          <w:sz w:val="32"/>
          <w:szCs w:val="32"/>
          <w:lang w:val="en-US" w:eastAsia="zh-CN"/>
        </w:rPr>
        <w:t>淮北市住房公积金管理中心分中心机房系统采购</w:t>
      </w:r>
      <w:r>
        <w:rPr>
          <w:rFonts w:hint="eastAsia" w:ascii="TimesNewRoman" w:hAnsi="TimesNewRoman" w:eastAsia="仿宋_GB2312" w:cs="TimesNewRoman"/>
          <w:kern w:val="0"/>
          <w:sz w:val="32"/>
          <w:szCs w:val="32"/>
        </w:rPr>
        <w:t>”项目。</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1）项目概述。2023年已实施，结转2024年支付。用于住房公积金分中心机房扩容、强弱电分区、消防、精密空调、防雷、动环监控、远程报警、门禁、防水排水、UPS电源、建筑防火、承重、模块化机房、模块化信息采集控制系统等。提供一年原厂质保保修，符合信息系统网络安全等级保护三级( 2.0) 建设要求，工期60天。</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2）立项依据。根据GB50174-2017《数据中心设计规范》的定义，科研院所、高等院校、三甲医院、大中城市的气象台、信息中心、疾病预防与控制中心、人社部门、住建部门、电力调度中心、交通（铁路、公路、水运）指挥调度中心、国际会议中心、国际体育比赛场馆、省部级以上政府办公楼等，属B级数据中心。B级数据中心的电子信息系统运行中断将造成一定的社会秩序混乱和一定的经济损失。机房建成后，将作为全市住房公积金数据保存、使用、传递的重要场所，为全市缴存单位和职工提供安全、高效的服务。</w:t>
      </w:r>
    </w:p>
    <w:p>
      <w:pPr>
        <w:ind w:firstLine="640" w:firstLineChars="200"/>
        <w:rPr>
          <w:rFonts w:hint="eastAsia" w:ascii="TimesNewRoman" w:hAnsi="TimesNewRoman" w:eastAsia="仿宋_GB2312" w:cs="TimesNewRoman"/>
          <w:kern w:val="0"/>
          <w:sz w:val="32"/>
          <w:szCs w:val="32"/>
          <w:lang w:eastAsia="zh-CN"/>
        </w:rPr>
      </w:pPr>
      <w:r>
        <w:rPr>
          <w:rFonts w:hint="eastAsia" w:ascii="TimesNewRoman" w:hAnsi="TimesNewRoman" w:eastAsia="仿宋_GB2312" w:cs="TimesNewRoman"/>
          <w:kern w:val="0"/>
          <w:sz w:val="32"/>
          <w:szCs w:val="32"/>
        </w:rPr>
        <w:t>（3）实施主体</w:t>
      </w:r>
      <w:r>
        <w:rPr>
          <w:rFonts w:hint="eastAsia" w:ascii="TimesNewRoman" w:hAnsi="TimesNewRoman" w:eastAsia="仿宋_GB2312" w:cs="TimesNewRoman"/>
          <w:kern w:val="0"/>
          <w:sz w:val="32"/>
          <w:szCs w:val="32"/>
          <w:lang w:eastAsia="zh-CN"/>
        </w:rPr>
        <w:t>：</w:t>
      </w:r>
      <w:r>
        <w:rPr>
          <w:rFonts w:hint="eastAsia" w:ascii="TimesNewRoman" w:hAnsi="TimesNewRoman" w:eastAsia="仿宋_GB2312" w:cs="TimesNewRoman"/>
          <w:kern w:val="0"/>
          <w:sz w:val="32"/>
          <w:szCs w:val="32"/>
          <w:lang w:val="en-US" w:eastAsia="zh-CN"/>
        </w:rPr>
        <w:t>淮北市住房公积金管理中心</w:t>
      </w:r>
    </w:p>
    <w:p>
      <w:pPr>
        <w:ind w:firstLine="640" w:firstLineChars="200"/>
        <w:rPr>
          <w:rFonts w:hint="default" w:ascii="TimesNewRoman" w:hAnsi="TimesNewRoman" w:eastAsia="仿宋_GB2312" w:cs="TimesNewRoman"/>
          <w:kern w:val="0"/>
          <w:sz w:val="32"/>
          <w:szCs w:val="32"/>
          <w:lang w:val="en-US" w:eastAsia="zh-CN"/>
        </w:rPr>
      </w:pPr>
      <w:r>
        <w:rPr>
          <w:rFonts w:hint="eastAsia" w:ascii="TimesNewRoman" w:hAnsi="TimesNewRoman" w:eastAsia="仿宋_GB2312" w:cs="TimesNewRoman"/>
          <w:kern w:val="0"/>
          <w:sz w:val="32"/>
          <w:szCs w:val="32"/>
        </w:rPr>
        <w:t>（4）起止时间</w:t>
      </w:r>
      <w:r>
        <w:rPr>
          <w:rFonts w:hint="eastAsia" w:ascii="TimesNewRoman" w:hAnsi="TimesNewRoman" w:eastAsia="仿宋_GB2312" w:cs="TimesNewRoman"/>
          <w:kern w:val="0"/>
          <w:sz w:val="32"/>
          <w:szCs w:val="32"/>
          <w:lang w:eastAsia="zh-CN"/>
        </w:rPr>
        <w:t>：</w:t>
      </w:r>
      <w:r>
        <w:rPr>
          <w:rFonts w:hint="default" w:ascii="TimesNewRoman" w:hAnsi="TimesNewRoman" w:eastAsia="仿宋_GB2312" w:cs="TimesNewRoman"/>
          <w:kern w:val="0"/>
          <w:sz w:val="32"/>
          <w:szCs w:val="32"/>
          <w:lang w:val="en-US"/>
        </w:rPr>
        <w:t>2024</w:t>
      </w:r>
      <w:r>
        <w:rPr>
          <w:rFonts w:hint="eastAsia" w:ascii="TimesNewRoman" w:hAnsi="TimesNewRoman" w:eastAsia="仿宋_GB2312" w:cs="TimesNewRoman"/>
          <w:kern w:val="0"/>
          <w:sz w:val="32"/>
          <w:szCs w:val="32"/>
          <w:lang w:val="en-US" w:eastAsia="zh-CN"/>
        </w:rPr>
        <w:t>年</w:t>
      </w:r>
      <w:r>
        <w:rPr>
          <w:rFonts w:hint="default" w:ascii="TimesNewRoman" w:hAnsi="TimesNewRoman" w:eastAsia="仿宋_GB2312" w:cs="TimesNewRoman"/>
          <w:kern w:val="0"/>
          <w:sz w:val="32"/>
          <w:szCs w:val="32"/>
          <w:lang w:val="en-US" w:eastAsia="zh-CN"/>
        </w:rPr>
        <w:t>1~12</w:t>
      </w:r>
      <w:r>
        <w:rPr>
          <w:rFonts w:hint="eastAsia" w:ascii="TimesNewRoman" w:hAnsi="TimesNewRoman" w:eastAsia="仿宋_GB2312" w:cs="TimesNewRoman"/>
          <w:kern w:val="0"/>
          <w:sz w:val="32"/>
          <w:szCs w:val="32"/>
          <w:lang w:val="en-US" w:eastAsia="zh-CN"/>
        </w:rPr>
        <w:t>月</w:t>
      </w:r>
    </w:p>
    <w:p>
      <w:pPr>
        <w:pStyle w:val="5"/>
        <w:spacing w:before="0" w:beforeAutospacing="0" w:after="0" w:afterAutospacing="0" w:line="570" w:lineRule="exact"/>
        <w:ind w:firstLine="640" w:firstLineChars="200"/>
        <w:jc w:val="both"/>
        <w:textAlignment w:val="baseline"/>
        <w:rPr>
          <w:rFonts w:hint="eastAsia" w:ascii="仿宋_GB2312" w:hAnsi="仿宋_GB2312" w:eastAsia="仿宋_GB2312" w:cs="仿宋_GB2312"/>
          <w:sz w:val="32"/>
          <w:szCs w:val="32"/>
        </w:rPr>
      </w:pPr>
      <w:r>
        <w:rPr>
          <w:rFonts w:hint="eastAsia" w:ascii="TimesNewRoman" w:hAnsi="TimesNewRoman" w:eastAsia="仿宋_GB2312" w:cs="TimesNewRoman"/>
          <w:kern w:val="0"/>
          <w:sz w:val="32"/>
          <w:szCs w:val="32"/>
        </w:rPr>
        <w:t>（5）项目内容。</w:t>
      </w:r>
      <w:r>
        <w:rPr>
          <w:rFonts w:hint="eastAsia" w:ascii="仿宋_GB2312" w:hAnsi="仿宋_GB2312" w:eastAsia="仿宋_GB2312" w:cs="仿宋_GB2312"/>
          <w:sz w:val="32"/>
          <w:szCs w:val="32"/>
        </w:rPr>
        <w:t>机房建设集建筑、电气、安装、网络等多个专业技术于一体，设计与施工的优劣，</w:t>
      </w:r>
      <w:r>
        <w:rPr>
          <w:rFonts w:ascii="仿宋_GB2312" w:hAnsi="仿宋_GB2312" w:eastAsia="仿宋_GB2312" w:cs="仿宋_GB2312"/>
          <w:sz w:val="32"/>
          <w:szCs w:val="32"/>
        </w:rPr>
        <w:t>直接关系到</w:t>
      </w:r>
      <w:r>
        <w:rPr>
          <w:rFonts w:hint="eastAsia" w:ascii="仿宋_GB2312" w:hAnsi="仿宋_GB2312" w:eastAsia="仿宋_GB2312" w:cs="仿宋_GB2312"/>
          <w:sz w:val="32"/>
          <w:szCs w:val="32"/>
        </w:rPr>
        <w:t>今</w:t>
      </w:r>
      <w:r>
        <w:rPr>
          <w:rFonts w:ascii="仿宋_GB2312" w:hAnsi="仿宋_GB2312" w:eastAsia="仿宋_GB2312" w:cs="仿宋_GB2312"/>
          <w:sz w:val="32"/>
          <w:szCs w:val="32"/>
        </w:rPr>
        <w:t>后中心各</w:t>
      </w:r>
      <w:r>
        <w:rPr>
          <w:rFonts w:hint="eastAsia" w:ascii="仿宋_GB2312" w:hAnsi="仿宋_GB2312" w:eastAsia="仿宋_GB2312" w:cs="仿宋_GB2312"/>
          <w:sz w:val="32"/>
          <w:szCs w:val="32"/>
        </w:rPr>
        <w:t>设备</w:t>
      </w:r>
      <w:r>
        <w:rPr>
          <w:rFonts w:ascii="仿宋_GB2312" w:hAnsi="仿宋_GB2312" w:eastAsia="仿宋_GB2312" w:cs="仿宋_GB2312"/>
          <w:sz w:val="32"/>
          <w:szCs w:val="32"/>
        </w:rPr>
        <w:t>能否稳定运行</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各</w:t>
      </w:r>
      <w:r>
        <w:rPr>
          <w:rFonts w:hint="eastAsia" w:ascii="仿宋_GB2312" w:hAnsi="仿宋_GB2312" w:eastAsia="仿宋_GB2312" w:cs="仿宋_GB2312"/>
          <w:sz w:val="32"/>
          <w:szCs w:val="32"/>
        </w:rPr>
        <w:t>系统</w:t>
      </w:r>
      <w:r>
        <w:rPr>
          <w:rFonts w:ascii="仿宋_GB2312" w:hAnsi="仿宋_GB2312" w:eastAsia="仿宋_GB2312" w:cs="仿宋_GB2312"/>
          <w:sz w:val="32"/>
          <w:szCs w:val="32"/>
        </w:rPr>
        <w:t>是否畅通无阻。</w:t>
      </w:r>
      <w:r>
        <w:rPr>
          <w:rFonts w:hint="eastAsia" w:ascii="仿宋_GB2312" w:hAnsi="仿宋_GB2312" w:eastAsia="仿宋_GB2312" w:cs="仿宋_GB2312"/>
          <w:sz w:val="32"/>
          <w:szCs w:val="32"/>
        </w:rPr>
        <w:t>考虑到中心生产机房对实用性、先进性、可靠性、经济性、灵活性、可扩展性、整体性、安全性要求高，将按照《数据中心设计规范》（GB50174-2017）中“B”级机房要求，将中心生产机房建成模块化数据中心。</w:t>
      </w:r>
    </w:p>
    <w:p>
      <w:pPr>
        <w:ind w:firstLine="640" w:firstLineChars="200"/>
        <w:rPr>
          <w:rFonts w:hint="eastAsia" w:ascii="TimesNewRoman" w:hAnsi="TimesNewRoman" w:eastAsia="仿宋_GB2312" w:cs="TimesNewRoman"/>
          <w:kern w:val="0"/>
          <w:sz w:val="32"/>
          <w:szCs w:val="32"/>
          <w:lang w:val="en-US" w:eastAsia="zh-CN"/>
        </w:rPr>
      </w:pPr>
      <w:r>
        <w:rPr>
          <w:rFonts w:hint="eastAsia" w:ascii="TimesNewRoman" w:hAnsi="TimesNewRoman" w:eastAsia="仿宋_GB2312" w:cs="TimesNewRoman"/>
          <w:kern w:val="0"/>
          <w:sz w:val="32"/>
          <w:szCs w:val="32"/>
        </w:rPr>
        <w:t>（6）年度预算安排198</w:t>
      </w:r>
      <w:r>
        <w:rPr>
          <w:rFonts w:hint="default" w:ascii="TimesNewRoman" w:hAnsi="TimesNewRoman" w:eastAsia="仿宋_GB2312" w:cs="TimesNewRoman"/>
          <w:kern w:val="0"/>
          <w:sz w:val="32"/>
          <w:szCs w:val="32"/>
          <w:lang w:val="en-US"/>
        </w:rPr>
        <w:t>.</w:t>
      </w:r>
      <w:r>
        <w:rPr>
          <w:rFonts w:hint="eastAsia" w:ascii="TimesNewRoman" w:hAnsi="TimesNewRoman" w:eastAsia="仿宋_GB2312" w:cs="TimesNewRoman"/>
          <w:kern w:val="0"/>
          <w:sz w:val="32"/>
          <w:szCs w:val="32"/>
        </w:rPr>
        <w:t>73</w:t>
      </w:r>
      <w:r>
        <w:rPr>
          <w:rFonts w:hint="eastAsia" w:ascii="TimesNewRoman" w:hAnsi="TimesNewRoman" w:eastAsia="仿宋_GB2312" w:cs="TimesNewRoman"/>
          <w:kern w:val="0"/>
          <w:sz w:val="32"/>
          <w:szCs w:val="32"/>
          <w:lang w:val="en-US" w:eastAsia="zh-CN"/>
        </w:rPr>
        <w:t>万元。</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（7）绩效目标。</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723"/>
        <w:gridCol w:w="282"/>
        <w:gridCol w:w="477"/>
        <w:gridCol w:w="2872"/>
        <w:gridCol w:w="1848"/>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9020" w:type="dxa"/>
            <w:gridSpan w:val="7"/>
            <w:tcBorders>
              <w:top w:val="nil"/>
              <w:left w:val="nil"/>
              <w:bottom w:val="nil"/>
              <w:right w:val="nil"/>
            </w:tcBorders>
            <w:vAlign w:val="center"/>
          </w:tcPr>
          <w:p>
            <w:pPr>
              <w:widowControl/>
              <w:jc w:val="center"/>
              <w:textAlignment w:val="center"/>
              <w:rPr>
                <w:rFonts w:ascii="宋体" w:cs="宋体"/>
                <w:b/>
                <w:bCs/>
                <w:szCs w:val="32"/>
              </w:rPr>
            </w:pPr>
            <w:r>
              <w:rPr>
                <w:rFonts w:hint="eastAsia" w:ascii="宋体" w:hAnsi="宋体" w:eastAsia="宋体" w:cs="宋体"/>
                <w:b/>
                <w:color w:val="000000"/>
                <w:kern w:val="0"/>
                <w:sz w:val="28"/>
                <w:szCs w:val="28"/>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020" w:type="dxa"/>
            <w:gridSpan w:val="7"/>
            <w:tcBorders>
              <w:top w:val="nil"/>
              <w:left w:val="nil"/>
              <w:right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 xml:space="preserve"> （2024年度）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项目名称</w:t>
            </w:r>
          </w:p>
        </w:tc>
        <w:tc>
          <w:tcPr>
            <w:tcW w:w="7577" w:type="dxa"/>
            <w:gridSpan w:val="4"/>
            <w:tcBorders>
              <w:tl2br w:val="nil"/>
              <w:tr2bl w:val="nil"/>
            </w:tcBorders>
            <w:vAlign w:val="center"/>
          </w:tcPr>
          <w:p>
            <w:pPr>
              <w:jc w:val="center"/>
              <w:rPr>
                <w:rFonts w:hint="eastAsia" w:ascii="宋体" w:cs="宋体"/>
                <w:sz w:val="20"/>
              </w:rPr>
            </w:pPr>
            <w:r>
              <w:rPr>
                <w:rFonts w:hint="eastAsia" w:ascii="宋体" w:cs="宋体"/>
                <w:sz w:val="20"/>
              </w:rPr>
              <w:t>淮北市住房公积金管理中心分中心机房系统采购(2023年项目结转)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443" w:type="dxa"/>
            <w:gridSpan w:val="3"/>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主管部门   及代码</w:t>
            </w:r>
          </w:p>
        </w:tc>
        <w:tc>
          <w:tcPr>
            <w:tcW w:w="3349" w:type="dxa"/>
            <w:gridSpan w:val="2"/>
            <w:tcBorders>
              <w:tl2br w:val="nil"/>
              <w:tr2bl w:val="nil"/>
            </w:tcBorders>
            <w:vAlign w:val="center"/>
          </w:tcPr>
          <w:p>
            <w:pPr>
              <w:jc w:val="center"/>
              <w:rPr>
                <w:rFonts w:hint="eastAsia" w:ascii="宋体" w:cs="宋体"/>
                <w:sz w:val="20"/>
                <w:lang w:val="en-US" w:eastAsia="zh-CN"/>
              </w:rPr>
            </w:pPr>
            <w:r>
              <w:rPr>
                <w:rFonts w:hint="eastAsia" w:ascii="宋体" w:cs="宋体"/>
                <w:sz w:val="20"/>
                <w:lang w:val="en-US" w:eastAsia="zh-CN"/>
              </w:rPr>
              <w:t>淮北市住房公积金管理中心</w:t>
            </w:r>
          </w:p>
        </w:tc>
        <w:tc>
          <w:tcPr>
            <w:tcW w:w="1848" w:type="dxa"/>
            <w:tcBorders>
              <w:tl2br w:val="nil"/>
              <w:tr2bl w:val="nil"/>
            </w:tcBorders>
            <w:vAlign w:val="center"/>
          </w:tcPr>
          <w:p>
            <w:pPr>
              <w:jc w:val="center"/>
              <w:rPr>
                <w:rFonts w:hint="eastAsia" w:ascii="宋体" w:cs="宋体"/>
                <w:sz w:val="20"/>
              </w:rPr>
            </w:pPr>
            <w:r>
              <w:rPr>
                <w:rFonts w:hint="eastAsia" w:ascii="宋体" w:cs="宋体"/>
                <w:sz w:val="20"/>
              </w:rPr>
              <w:t>实施单位</w:t>
            </w:r>
          </w:p>
        </w:tc>
        <w:tc>
          <w:tcPr>
            <w:tcW w:w="2380" w:type="dxa"/>
            <w:tcBorders>
              <w:tl2br w:val="nil"/>
              <w:tr2bl w:val="nil"/>
            </w:tcBorders>
            <w:vAlign w:val="center"/>
          </w:tcPr>
          <w:p>
            <w:pPr>
              <w:jc w:val="center"/>
              <w:rPr>
                <w:rFonts w:hint="eastAsia" w:ascii="宋体" w:cs="宋体"/>
                <w:sz w:val="20"/>
                <w:lang w:val="en-US" w:eastAsia="zh-CN"/>
              </w:rPr>
            </w:pPr>
            <w:r>
              <w:rPr>
                <w:rFonts w:hint="eastAsia" w:ascii="宋体" w:cs="宋体"/>
                <w:sz w:val="20"/>
                <w:lang w:val="en-US" w:eastAsia="zh-CN"/>
              </w:rPr>
              <w:t>淮北市住房公积金管理中心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项目来源</w:t>
            </w:r>
          </w:p>
        </w:tc>
        <w:tc>
          <w:tcPr>
            <w:tcW w:w="3349" w:type="dxa"/>
            <w:gridSpan w:val="2"/>
            <w:tcBorders>
              <w:tl2br w:val="nil"/>
              <w:tr2bl w:val="nil"/>
            </w:tcBorders>
            <w:vAlign w:val="center"/>
          </w:tcPr>
          <w:p>
            <w:pPr>
              <w:jc w:val="center"/>
              <w:rPr>
                <w:rFonts w:hint="eastAsia" w:ascii="宋体" w:cs="宋体"/>
                <w:sz w:val="20"/>
              </w:rPr>
            </w:pPr>
          </w:p>
        </w:tc>
        <w:tc>
          <w:tcPr>
            <w:tcW w:w="1848" w:type="dxa"/>
            <w:tcBorders>
              <w:tl2br w:val="nil"/>
              <w:tr2bl w:val="nil"/>
            </w:tcBorders>
            <w:vAlign w:val="center"/>
          </w:tcPr>
          <w:p>
            <w:pPr>
              <w:jc w:val="center"/>
              <w:rPr>
                <w:rFonts w:hint="eastAsia" w:ascii="宋体" w:cs="宋体"/>
                <w:sz w:val="20"/>
              </w:rPr>
            </w:pPr>
            <w:r>
              <w:rPr>
                <w:rFonts w:hint="eastAsia" w:ascii="宋体" w:cs="宋体"/>
                <w:sz w:val="20"/>
              </w:rPr>
              <w:t>项目期</w:t>
            </w:r>
          </w:p>
        </w:tc>
        <w:tc>
          <w:tcPr>
            <w:tcW w:w="2380" w:type="dxa"/>
            <w:tcBorders>
              <w:tl2br w:val="nil"/>
              <w:tr2bl w:val="nil"/>
            </w:tcBorders>
            <w:vAlign w:val="center"/>
          </w:tcPr>
          <w:p>
            <w:pPr>
              <w:jc w:val="center"/>
              <w:rPr>
                <w:rFonts w:hint="eastAsia" w:ascii="宋体" w:cs="宋体" w:eastAsiaTheme="minorEastAsia"/>
                <w:sz w:val="20"/>
                <w:lang w:val="en-US" w:eastAsia="zh-CN"/>
              </w:rPr>
            </w:pPr>
            <w:r>
              <w:rPr>
                <w:rFonts w:hint="eastAsia" w:ascii="宋体" w:cs="宋体"/>
                <w:sz w:val="20"/>
                <w:lang w:val="en-US" w:eastAsia="zh-CN"/>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项目资金</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（万元）</w:t>
            </w:r>
          </w:p>
        </w:tc>
        <w:tc>
          <w:tcPr>
            <w:tcW w:w="3349" w:type="dxa"/>
            <w:gridSpan w:val="2"/>
            <w:tcBorders>
              <w:tl2br w:val="nil"/>
              <w:tr2bl w:val="nil"/>
            </w:tcBorders>
            <w:vAlign w:val="center"/>
          </w:tcPr>
          <w:p>
            <w:pPr>
              <w:jc w:val="center"/>
              <w:rPr>
                <w:rFonts w:hint="eastAsia" w:ascii="宋体" w:cs="宋体"/>
                <w:sz w:val="20"/>
              </w:rPr>
            </w:pPr>
            <w:r>
              <w:rPr>
                <w:rFonts w:hint="eastAsia" w:ascii="宋体" w:cs="宋体"/>
                <w:sz w:val="20"/>
              </w:rPr>
              <w:t xml:space="preserve"> 年度资金总额：</w:t>
            </w:r>
          </w:p>
        </w:tc>
        <w:tc>
          <w:tcPr>
            <w:tcW w:w="4228" w:type="dxa"/>
            <w:gridSpan w:val="2"/>
            <w:tcBorders>
              <w:tl2br w:val="nil"/>
              <w:tr2bl w:val="nil"/>
            </w:tcBorders>
            <w:vAlign w:val="center"/>
          </w:tcPr>
          <w:p>
            <w:pPr>
              <w:jc w:val="center"/>
              <w:rPr>
                <w:rFonts w:hint="eastAsia" w:ascii="宋体" w:cs="宋体"/>
                <w:sz w:val="20"/>
              </w:rPr>
            </w:pPr>
            <w:r>
              <w:rPr>
                <w:rFonts w:hint="eastAsia" w:ascii="宋体" w:cs="宋体"/>
                <w:sz w:val="20"/>
              </w:rPr>
              <w:t>198.73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宋体" w:cs="宋体"/>
                <w:sz w:val="20"/>
              </w:rPr>
            </w:pPr>
          </w:p>
        </w:tc>
        <w:tc>
          <w:tcPr>
            <w:tcW w:w="3349" w:type="dxa"/>
            <w:gridSpan w:val="2"/>
            <w:tcBorders>
              <w:tl2br w:val="nil"/>
              <w:tr2bl w:val="nil"/>
            </w:tcBorders>
            <w:vAlign w:val="center"/>
          </w:tcPr>
          <w:p>
            <w:pPr>
              <w:jc w:val="center"/>
              <w:rPr>
                <w:rFonts w:hint="eastAsia" w:ascii="宋体" w:cs="宋体"/>
                <w:sz w:val="20"/>
              </w:rPr>
            </w:pPr>
            <w:r>
              <w:rPr>
                <w:rFonts w:hint="eastAsia" w:ascii="宋体" w:cs="宋体"/>
                <w:sz w:val="20"/>
              </w:rPr>
              <w:t xml:space="preserve">   其中：财政拨款</w:t>
            </w:r>
          </w:p>
        </w:tc>
        <w:tc>
          <w:tcPr>
            <w:tcW w:w="4228" w:type="dxa"/>
            <w:gridSpan w:val="2"/>
            <w:tcBorders>
              <w:tl2br w:val="nil"/>
              <w:tr2bl w:val="nil"/>
            </w:tcBorders>
            <w:vAlign w:val="center"/>
          </w:tcPr>
          <w:p>
            <w:pPr>
              <w:jc w:val="center"/>
              <w:rPr>
                <w:rFonts w:hint="eastAsia" w:ascii="宋体" w:cs="宋体"/>
                <w:sz w:val="20"/>
                <w:lang w:val="en-US" w:eastAsia="zh-CN"/>
              </w:rPr>
            </w:pPr>
            <w:r>
              <w:rPr>
                <w:rFonts w:hint="eastAsia" w:ascii="宋体" w:cs="宋体"/>
                <w:sz w:val="20"/>
              </w:rPr>
              <w:t>198.73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宋体" w:cs="宋体"/>
                <w:sz w:val="20"/>
              </w:rPr>
            </w:pPr>
          </w:p>
        </w:tc>
        <w:tc>
          <w:tcPr>
            <w:tcW w:w="3349" w:type="dxa"/>
            <w:gridSpan w:val="2"/>
            <w:tcBorders>
              <w:tl2br w:val="nil"/>
              <w:tr2bl w:val="nil"/>
            </w:tcBorders>
            <w:vAlign w:val="center"/>
          </w:tcPr>
          <w:p>
            <w:pPr>
              <w:jc w:val="center"/>
              <w:rPr>
                <w:rFonts w:hint="eastAsia" w:ascii="宋体" w:cs="宋体"/>
                <w:sz w:val="20"/>
              </w:rPr>
            </w:pPr>
            <w:r>
              <w:rPr>
                <w:rFonts w:hint="eastAsia" w:ascii="宋体" w:cs="宋体"/>
                <w:sz w:val="20"/>
              </w:rPr>
              <w:t xml:space="preserve">         上年结转</w:t>
            </w:r>
          </w:p>
        </w:tc>
        <w:tc>
          <w:tcPr>
            <w:tcW w:w="4228" w:type="dxa"/>
            <w:gridSpan w:val="2"/>
            <w:tcBorders>
              <w:tl2br w:val="nil"/>
              <w:tr2bl w:val="nil"/>
            </w:tcBorders>
            <w:vAlign w:val="center"/>
          </w:tcPr>
          <w:p>
            <w:pPr>
              <w:jc w:val="center"/>
              <w:rPr>
                <w:rFonts w:hint="eastAsia"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宋体" w:cs="宋体"/>
                <w:sz w:val="20"/>
              </w:rPr>
            </w:pPr>
          </w:p>
        </w:tc>
        <w:tc>
          <w:tcPr>
            <w:tcW w:w="3349" w:type="dxa"/>
            <w:gridSpan w:val="2"/>
            <w:tcBorders>
              <w:tl2br w:val="nil"/>
              <w:tr2bl w:val="nil"/>
            </w:tcBorders>
            <w:vAlign w:val="center"/>
          </w:tcPr>
          <w:p>
            <w:pPr>
              <w:jc w:val="center"/>
              <w:rPr>
                <w:rFonts w:hint="eastAsia" w:ascii="宋体" w:cs="宋体"/>
                <w:sz w:val="20"/>
              </w:rPr>
            </w:pPr>
            <w:r>
              <w:rPr>
                <w:rFonts w:hint="eastAsia" w:ascii="宋体" w:cs="宋体"/>
                <w:sz w:val="20"/>
              </w:rPr>
              <w:t xml:space="preserve">         其他资金</w:t>
            </w:r>
          </w:p>
        </w:tc>
        <w:tc>
          <w:tcPr>
            <w:tcW w:w="4228" w:type="dxa"/>
            <w:gridSpan w:val="2"/>
            <w:tcBorders>
              <w:tl2br w:val="nil"/>
              <w:tr2bl w:val="nil"/>
            </w:tcBorders>
            <w:vAlign w:val="center"/>
          </w:tcPr>
          <w:p>
            <w:pPr>
              <w:jc w:val="center"/>
              <w:rPr>
                <w:rFonts w:hint="eastAsia"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438" w:type="dxa"/>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年度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目标</w:t>
            </w:r>
          </w:p>
        </w:tc>
        <w:tc>
          <w:tcPr>
            <w:tcW w:w="8582" w:type="dxa"/>
            <w:gridSpan w:val="6"/>
            <w:tcBorders>
              <w:tl2br w:val="nil"/>
              <w:tr2bl w:val="nil"/>
            </w:tcBorders>
            <w:vAlign w:val="center"/>
          </w:tcPr>
          <w:p>
            <w:pPr>
              <w:jc w:val="center"/>
              <w:rPr>
                <w:rFonts w:hint="eastAsia" w:ascii="宋体" w:cs="宋体"/>
                <w:sz w:val="20"/>
              </w:rPr>
            </w:pPr>
            <w:r>
              <w:rPr>
                <w:rFonts w:hint="eastAsia" w:ascii="宋体" w:cs="宋体"/>
                <w:sz w:val="20"/>
              </w:rPr>
              <w:t>按合同约定支付。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438" w:type="dxa"/>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绩</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效</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标</w:t>
            </w:r>
          </w:p>
        </w:tc>
        <w:tc>
          <w:tcPr>
            <w:tcW w:w="723" w:type="dxa"/>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一级</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指标</w:t>
            </w:r>
          </w:p>
        </w:tc>
        <w:tc>
          <w:tcPr>
            <w:tcW w:w="759" w:type="dxa"/>
            <w:gridSpan w:val="2"/>
            <w:tcBorders>
              <w:tl2br w:val="nil"/>
              <w:tr2bl w:val="nil"/>
            </w:tcBorders>
            <w:vAlign w:val="center"/>
          </w:tcPr>
          <w:p>
            <w:pPr>
              <w:jc w:val="center"/>
              <w:rPr>
                <w:rFonts w:hint="eastAsia" w:ascii="宋体" w:cs="宋体"/>
                <w:sz w:val="20"/>
              </w:rPr>
            </w:pPr>
            <w:r>
              <w:rPr>
                <w:rFonts w:hint="eastAsia" w:ascii="宋体" w:cs="宋体"/>
                <w:sz w:val="20"/>
              </w:rPr>
              <w:t>二级指标</w:t>
            </w:r>
          </w:p>
        </w:tc>
        <w:tc>
          <w:tcPr>
            <w:tcW w:w="2872" w:type="dxa"/>
            <w:tcBorders>
              <w:tl2br w:val="nil"/>
              <w:tr2bl w:val="nil"/>
            </w:tcBorders>
            <w:vAlign w:val="center"/>
          </w:tcPr>
          <w:p>
            <w:pPr>
              <w:jc w:val="center"/>
              <w:rPr>
                <w:rFonts w:hint="eastAsia" w:ascii="宋体" w:cs="宋体"/>
                <w:sz w:val="20"/>
              </w:rPr>
            </w:pPr>
            <w:r>
              <w:rPr>
                <w:rFonts w:hint="eastAsia" w:ascii="宋体" w:cs="宋体"/>
                <w:sz w:val="20"/>
              </w:rPr>
              <w:t>三级指标</w:t>
            </w:r>
          </w:p>
        </w:tc>
        <w:tc>
          <w:tcPr>
            <w:tcW w:w="4228" w:type="dxa"/>
            <w:gridSpan w:val="2"/>
            <w:tcBorders>
              <w:tl2br w:val="nil"/>
              <w:tr2bl w:val="nil"/>
            </w:tcBorders>
            <w:vAlign w:val="center"/>
          </w:tcPr>
          <w:p>
            <w:pPr>
              <w:jc w:val="center"/>
              <w:rPr>
                <w:rFonts w:hint="eastAsia" w:ascii="宋体" w:cs="宋体"/>
                <w:sz w:val="20"/>
              </w:rPr>
            </w:pPr>
            <w:r>
              <w:rPr>
                <w:rFonts w:hint="eastAsia" w:ascii="宋体" w:cs="宋体"/>
                <w:sz w:val="20"/>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产出指标</w:t>
            </w:r>
          </w:p>
        </w:tc>
        <w:tc>
          <w:tcPr>
            <w:tcW w:w="759" w:type="dxa"/>
            <w:gridSpan w:val="2"/>
            <w:tcBorders>
              <w:tl2br w:val="nil"/>
              <w:tr2bl w:val="nil"/>
            </w:tcBorders>
            <w:vAlign w:val="center"/>
          </w:tcPr>
          <w:p>
            <w:pPr>
              <w:jc w:val="center"/>
              <w:rPr>
                <w:rFonts w:hint="eastAsia" w:ascii="宋体" w:cs="宋体"/>
                <w:sz w:val="20"/>
              </w:rPr>
            </w:pPr>
            <w:r>
              <w:rPr>
                <w:rFonts w:hint="eastAsia" w:ascii="宋体" w:cs="宋体"/>
                <w:sz w:val="20"/>
              </w:rPr>
              <w:t>数量指标</w:t>
            </w:r>
          </w:p>
        </w:tc>
        <w:tc>
          <w:tcPr>
            <w:tcW w:w="2872" w:type="dxa"/>
            <w:tcBorders>
              <w:tl2br w:val="nil"/>
              <w:tr2bl w:val="nil"/>
            </w:tcBorders>
            <w:vAlign w:val="center"/>
          </w:tcPr>
          <w:p>
            <w:pPr>
              <w:jc w:val="center"/>
              <w:rPr>
                <w:rFonts w:hint="eastAsia" w:ascii="宋体" w:cs="宋体"/>
                <w:sz w:val="20"/>
                <w:lang w:eastAsia="zh-CN"/>
              </w:rPr>
            </w:pPr>
            <w:r>
              <w:rPr>
                <w:rFonts w:hint="eastAsia" w:ascii="宋体" w:cs="宋体"/>
                <w:sz w:val="20"/>
              </w:rPr>
              <w:t>指标</w:t>
            </w:r>
            <w:r>
              <w:rPr>
                <w:rFonts w:hint="eastAsia" w:ascii="宋体" w:cs="宋体"/>
                <w:sz w:val="20"/>
                <w:lang w:eastAsia="zh-CN"/>
              </w:rPr>
              <w:t>：</w:t>
            </w:r>
            <w:r>
              <w:rPr>
                <w:rFonts w:hint="eastAsia" w:ascii="宋体" w:cs="宋体"/>
                <w:sz w:val="20"/>
              </w:rPr>
              <w:t>是否完成申报的数量</w:t>
            </w:r>
          </w:p>
        </w:tc>
        <w:tc>
          <w:tcPr>
            <w:tcW w:w="4228" w:type="dxa"/>
            <w:gridSpan w:val="2"/>
            <w:tcBorders>
              <w:tl2br w:val="nil"/>
              <w:tr2bl w:val="nil"/>
            </w:tcBorders>
            <w:vAlign w:val="center"/>
          </w:tcPr>
          <w:p>
            <w:pPr>
              <w:jc w:val="center"/>
              <w:rPr>
                <w:rFonts w:hint="eastAsia" w:ascii="宋体" w:cs="宋体" w:eastAsiaTheme="minorEastAsia"/>
                <w:sz w:val="20"/>
                <w:lang w:val="en-US" w:eastAsia="zh-CN"/>
              </w:rPr>
            </w:pPr>
            <w:r>
              <w:rPr>
                <w:rFonts w:hint="default" w:ascii="宋体" w:cs="宋体"/>
                <w:sz w:val="20"/>
                <w:lang w:val="en-US"/>
              </w:rPr>
              <w:t>=1</w:t>
            </w:r>
            <w:r>
              <w:rPr>
                <w:rFonts w:hint="eastAsia" w:ascii="宋体" w:cs="宋体"/>
                <w:sz w:val="20"/>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jc w:val="center"/>
              <w:rPr>
                <w:rFonts w:hint="eastAsia" w:ascii="宋体" w:cs="宋体"/>
                <w:sz w:val="20"/>
              </w:rPr>
            </w:pPr>
            <w:r>
              <w:rPr>
                <w:rFonts w:hint="eastAsia" w:ascii="宋体" w:cs="宋体"/>
                <w:sz w:val="20"/>
              </w:rPr>
              <w:t>质量指标</w:t>
            </w:r>
          </w:p>
        </w:tc>
        <w:tc>
          <w:tcPr>
            <w:tcW w:w="2872" w:type="dxa"/>
            <w:tcBorders>
              <w:tl2br w:val="nil"/>
              <w:tr2bl w:val="nil"/>
            </w:tcBorders>
            <w:vAlign w:val="center"/>
          </w:tcPr>
          <w:p>
            <w:pPr>
              <w:jc w:val="center"/>
              <w:rPr>
                <w:rFonts w:hint="eastAsia" w:ascii="宋体" w:cs="宋体"/>
                <w:sz w:val="20"/>
                <w:lang w:eastAsia="zh-CN"/>
              </w:rPr>
            </w:pPr>
            <w:r>
              <w:rPr>
                <w:rFonts w:hint="eastAsia" w:ascii="宋体" w:cs="宋体"/>
                <w:sz w:val="20"/>
              </w:rPr>
              <w:t>指标</w:t>
            </w:r>
            <w:r>
              <w:rPr>
                <w:rFonts w:hint="eastAsia" w:ascii="宋体" w:cs="宋体"/>
                <w:sz w:val="20"/>
                <w:lang w:eastAsia="zh-CN"/>
              </w:rPr>
              <w:t>：</w:t>
            </w:r>
            <w:r>
              <w:rPr>
                <w:rFonts w:hint="eastAsia" w:ascii="宋体" w:cs="宋体"/>
                <w:sz w:val="20"/>
              </w:rPr>
              <w:t>系统运事故发生频率</w:t>
            </w:r>
          </w:p>
        </w:tc>
        <w:tc>
          <w:tcPr>
            <w:tcW w:w="4228" w:type="dxa"/>
            <w:gridSpan w:val="2"/>
            <w:tcBorders>
              <w:tl2br w:val="nil"/>
              <w:tr2bl w:val="nil"/>
            </w:tcBorders>
            <w:vAlign w:val="center"/>
          </w:tcPr>
          <w:p>
            <w:pPr>
              <w:jc w:val="center"/>
              <w:rPr>
                <w:rFonts w:hint="default" w:ascii="宋体" w:cs="宋体"/>
                <w:sz w:val="20"/>
                <w:lang w:val="en-US"/>
              </w:rPr>
            </w:pPr>
            <w:r>
              <w:rPr>
                <w:rFonts w:hint="eastAsia" w:ascii="宋体" w:cs="宋体"/>
                <w:sz w:val="20"/>
              </w:rPr>
              <w:t>≤</w:t>
            </w:r>
            <w:r>
              <w:rPr>
                <w:rFonts w:hint="default" w:ascii="宋体" w:cs="宋体"/>
                <w:sz w:val="20"/>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jc w:val="center"/>
              <w:rPr>
                <w:rFonts w:hint="eastAsia" w:ascii="宋体" w:cs="宋体"/>
                <w:sz w:val="20"/>
              </w:rPr>
            </w:pPr>
            <w:r>
              <w:rPr>
                <w:rFonts w:hint="eastAsia" w:ascii="宋体" w:cs="宋体"/>
                <w:sz w:val="20"/>
              </w:rPr>
              <w:t>时效指标</w:t>
            </w:r>
          </w:p>
        </w:tc>
        <w:tc>
          <w:tcPr>
            <w:tcW w:w="2872" w:type="dxa"/>
            <w:tcBorders>
              <w:tl2br w:val="nil"/>
              <w:tr2bl w:val="nil"/>
            </w:tcBorders>
            <w:vAlign w:val="center"/>
          </w:tcPr>
          <w:p>
            <w:pPr>
              <w:jc w:val="center"/>
              <w:rPr>
                <w:rFonts w:hint="eastAsia" w:ascii="宋体" w:cs="宋体"/>
                <w:sz w:val="20"/>
                <w:lang w:eastAsia="zh-CN"/>
              </w:rPr>
            </w:pPr>
            <w:r>
              <w:rPr>
                <w:rFonts w:hint="eastAsia" w:ascii="宋体" w:cs="宋体"/>
                <w:sz w:val="20"/>
              </w:rPr>
              <w:t>指标</w:t>
            </w:r>
            <w:r>
              <w:rPr>
                <w:rFonts w:hint="eastAsia" w:ascii="宋体" w:cs="宋体"/>
                <w:sz w:val="20"/>
                <w:lang w:eastAsia="zh-CN"/>
              </w:rPr>
              <w:t>：</w:t>
            </w:r>
            <w:r>
              <w:rPr>
                <w:rFonts w:hint="eastAsia" w:ascii="宋体" w:cs="宋体"/>
                <w:sz w:val="20"/>
              </w:rPr>
              <w:t>故障修复响应时间</w:t>
            </w:r>
          </w:p>
        </w:tc>
        <w:tc>
          <w:tcPr>
            <w:tcW w:w="4228" w:type="dxa"/>
            <w:gridSpan w:val="2"/>
            <w:tcBorders>
              <w:tl2br w:val="nil"/>
              <w:tr2bl w:val="nil"/>
            </w:tcBorders>
            <w:vAlign w:val="center"/>
          </w:tcPr>
          <w:p>
            <w:pPr>
              <w:jc w:val="center"/>
              <w:rPr>
                <w:rFonts w:hint="eastAsia" w:ascii="宋体" w:cs="宋体"/>
                <w:sz w:val="20"/>
              </w:rPr>
            </w:pPr>
            <w:r>
              <w:rPr>
                <w:rFonts w:hint="eastAsia" w:ascii="宋体" w:cs="宋体"/>
                <w:sz w:val="20"/>
              </w:rPr>
              <w:t>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jc w:val="center"/>
              <w:rPr>
                <w:rFonts w:hint="eastAsia" w:ascii="宋体" w:cs="宋体"/>
                <w:sz w:val="20"/>
              </w:rPr>
            </w:pPr>
            <w:r>
              <w:rPr>
                <w:rFonts w:hint="eastAsia" w:ascii="宋体" w:cs="宋体"/>
                <w:sz w:val="20"/>
              </w:rPr>
              <w:t>成本指标</w:t>
            </w:r>
          </w:p>
        </w:tc>
        <w:tc>
          <w:tcPr>
            <w:tcW w:w="2872" w:type="dxa"/>
            <w:tcBorders>
              <w:tl2br w:val="nil"/>
              <w:tr2bl w:val="nil"/>
            </w:tcBorders>
            <w:vAlign w:val="center"/>
          </w:tcPr>
          <w:p>
            <w:pPr>
              <w:jc w:val="center"/>
              <w:rPr>
                <w:rFonts w:hint="eastAsia" w:ascii="宋体" w:cs="宋体"/>
                <w:sz w:val="20"/>
                <w:lang w:eastAsia="zh-CN"/>
              </w:rPr>
            </w:pPr>
            <w:r>
              <w:rPr>
                <w:rFonts w:hint="eastAsia" w:ascii="宋体" w:cs="宋体"/>
                <w:sz w:val="20"/>
              </w:rPr>
              <w:t>指标</w:t>
            </w:r>
            <w:r>
              <w:rPr>
                <w:rFonts w:hint="eastAsia" w:ascii="宋体" w:cs="宋体"/>
                <w:sz w:val="20"/>
                <w:lang w:eastAsia="zh-CN"/>
              </w:rPr>
              <w:t>：</w:t>
            </w:r>
            <w:r>
              <w:rPr>
                <w:rFonts w:hint="eastAsia" w:ascii="宋体" w:cs="宋体"/>
                <w:sz w:val="20"/>
              </w:rPr>
              <w:t>项目总成本</w:t>
            </w:r>
          </w:p>
        </w:tc>
        <w:tc>
          <w:tcPr>
            <w:tcW w:w="4228" w:type="dxa"/>
            <w:gridSpan w:val="2"/>
            <w:tcBorders>
              <w:tl2br w:val="nil"/>
              <w:tr2bl w:val="nil"/>
            </w:tcBorders>
            <w:vAlign w:val="center"/>
          </w:tcPr>
          <w:p>
            <w:pPr>
              <w:jc w:val="center"/>
              <w:rPr>
                <w:rFonts w:hint="eastAsia" w:ascii="宋体" w:cs="宋体"/>
                <w:sz w:val="20"/>
              </w:rPr>
            </w:pPr>
            <w:r>
              <w:rPr>
                <w:rFonts w:hint="eastAsia" w:ascii="宋体" w:cs="宋体"/>
                <w:sz w:val="20"/>
              </w:rPr>
              <w:t>≤198</w:t>
            </w:r>
            <w:r>
              <w:rPr>
                <w:rFonts w:hint="default" w:ascii="宋体" w:cs="宋体"/>
                <w:sz w:val="20"/>
                <w:lang w:val="en-US"/>
              </w:rPr>
              <w:t>.</w:t>
            </w:r>
            <w:r>
              <w:rPr>
                <w:rFonts w:hint="eastAsia" w:ascii="宋体" w:cs="宋体"/>
                <w:sz w:val="20"/>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效益指标</w:t>
            </w:r>
          </w:p>
        </w:tc>
        <w:tc>
          <w:tcPr>
            <w:tcW w:w="759" w:type="dxa"/>
            <w:gridSpan w:val="2"/>
            <w:vMerge w:val="restart"/>
            <w:tcBorders>
              <w:tl2br w:val="nil"/>
              <w:tr2bl w:val="nil"/>
            </w:tcBorders>
            <w:vAlign w:val="center"/>
          </w:tcPr>
          <w:p>
            <w:pPr>
              <w:jc w:val="center"/>
              <w:rPr>
                <w:rFonts w:hint="eastAsia" w:ascii="宋体" w:cs="宋体"/>
                <w:sz w:val="20"/>
              </w:rPr>
            </w:pPr>
            <w:r>
              <w:rPr>
                <w:rFonts w:hint="eastAsia" w:ascii="宋体" w:cs="宋体"/>
                <w:sz w:val="20"/>
              </w:rPr>
              <w:t>经济效益指标</w:t>
            </w:r>
          </w:p>
        </w:tc>
        <w:tc>
          <w:tcPr>
            <w:tcW w:w="2872" w:type="dxa"/>
            <w:tcBorders>
              <w:tl2br w:val="nil"/>
              <w:tr2bl w:val="nil"/>
            </w:tcBorders>
            <w:vAlign w:val="center"/>
          </w:tcPr>
          <w:p>
            <w:pPr>
              <w:jc w:val="center"/>
              <w:rPr>
                <w:rFonts w:hint="eastAsia" w:ascii="宋体" w:cs="宋体"/>
                <w:sz w:val="20"/>
                <w:lang w:eastAsia="zh-CN"/>
              </w:rPr>
            </w:pPr>
            <w:r>
              <w:rPr>
                <w:rFonts w:hint="eastAsia" w:ascii="宋体" w:cs="宋体"/>
                <w:sz w:val="20"/>
              </w:rPr>
              <w:t>指标</w:t>
            </w:r>
            <w:r>
              <w:rPr>
                <w:rFonts w:hint="eastAsia" w:ascii="宋体" w:cs="宋体"/>
                <w:sz w:val="20"/>
                <w:lang w:eastAsia="zh-CN"/>
              </w:rPr>
              <w:t>：</w:t>
            </w:r>
            <w:r>
              <w:rPr>
                <w:rFonts w:hint="eastAsia" w:ascii="宋体" w:cs="宋体"/>
                <w:sz w:val="20"/>
              </w:rPr>
              <w:t>减少项目运维费用</w:t>
            </w:r>
          </w:p>
        </w:tc>
        <w:tc>
          <w:tcPr>
            <w:tcW w:w="4228" w:type="dxa"/>
            <w:gridSpan w:val="2"/>
            <w:tcBorders>
              <w:tl2br w:val="nil"/>
              <w:tr2bl w:val="nil"/>
            </w:tcBorders>
            <w:vAlign w:val="center"/>
          </w:tcPr>
          <w:p>
            <w:pPr>
              <w:jc w:val="center"/>
              <w:rPr>
                <w:rFonts w:hint="eastAsia" w:ascii="宋体" w:cs="宋体"/>
                <w:sz w:val="20"/>
              </w:rPr>
            </w:pPr>
            <w:r>
              <w:rPr>
                <w:rFonts w:hint="eastAsia" w:ascii="宋体" w:cs="宋体"/>
                <w:sz w:val="20"/>
              </w:rPr>
              <w:t>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continue"/>
            <w:tcBorders>
              <w:tl2br w:val="nil"/>
              <w:tr2bl w:val="nil"/>
            </w:tcBorders>
            <w:vAlign w:val="center"/>
          </w:tcPr>
          <w:p>
            <w:pPr>
              <w:jc w:val="center"/>
              <w:rPr>
                <w:rFonts w:hint="eastAsia" w:ascii="宋体" w:cs="宋体"/>
                <w:sz w:val="20"/>
              </w:rPr>
            </w:pPr>
          </w:p>
        </w:tc>
        <w:tc>
          <w:tcPr>
            <w:tcW w:w="2872" w:type="dxa"/>
            <w:tcBorders>
              <w:tl2br w:val="nil"/>
              <w:tr2bl w:val="nil"/>
            </w:tcBorders>
            <w:vAlign w:val="center"/>
          </w:tcPr>
          <w:p>
            <w:pPr>
              <w:jc w:val="center"/>
              <w:rPr>
                <w:rFonts w:hint="eastAsia" w:ascii="宋体" w:cs="宋体"/>
                <w:sz w:val="20"/>
              </w:rPr>
            </w:pPr>
            <w:r>
              <w:rPr>
                <w:rFonts w:hint="eastAsia" w:ascii="宋体" w:cs="宋体"/>
                <w:sz w:val="20"/>
              </w:rPr>
              <w:t>指标</w:t>
            </w:r>
            <w:r>
              <w:rPr>
                <w:rFonts w:hint="eastAsia" w:ascii="宋体" w:cs="宋体"/>
                <w:sz w:val="20"/>
                <w:lang w:eastAsia="zh-CN"/>
              </w:rPr>
              <w:t>：</w:t>
            </w:r>
            <w:r>
              <w:rPr>
                <w:rFonts w:hint="eastAsia" w:ascii="宋体" w:cs="宋体"/>
                <w:sz w:val="20"/>
              </w:rPr>
              <w:t>增加数据和网络的安全性</w:t>
            </w:r>
          </w:p>
        </w:tc>
        <w:tc>
          <w:tcPr>
            <w:tcW w:w="4228" w:type="dxa"/>
            <w:gridSpan w:val="2"/>
            <w:tcBorders>
              <w:tl2br w:val="nil"/>
              <w:tr2bl w:val="nil"/>
            </w:tcBorders>
            <w:vAlign w:val="center"/>
          </w:tcPr>
          <w:p>
            <w:pPr>
              <w:jc w:val="center"/>
              <w:rPr>
                <w:rFonts w:hint="eastAsia" w:ascii="宋体" w:cs="宋体"/>
                <w:sz w:val="20"/>
              </w:rPr>
            </w:pPr>
            <w:r>
              <w:rPr>
                <w:rFonts w:hint="eastAsia" w:ascii="宋体" w:cs="宋体"/>
                <w:sz w:val="20"/>
              </w:rPr>
              <w:t>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restart"/>
            <w:tcBorders>
              <w:tl2br w:val="nil"/>
              <w:tr2bl w:val="nil"/>
            </w:tcBorders>
            <w:vAlign w:val="center"/>
          </w:tcPr>
          <w:p>
            <w:pPr>
              <w:jc w:val="center"/>
              <w:rPr>
                <w:rFonts w:hint="eastAsia" w:ascii="宋体" w:cs="宋体"/>
                <w:sz w:val="20"/>
              </w:rPr>
            </w:pPr>
            <w:r>
              <w:rPr>
                <w:rFonts w:hint="eastAsia" w:ascii="宋体" w:cs="宋体"/>
                <w:sz w:val="20"/>
              </w:rPr>
              <w:t>社会效益指标</w:t>
            </w:r>
          </w:p>
        </w:tc>
        <w:tc>
          <w:tcPr>
            <w:tcW w:w="2872" w:type="dxa"/>
            <w:tcBorders>
              <w:tl2br w:val="nil"/>
              <w:tr2bl w:val="nil"/>
            </w:tcBorders>
            <w:vAlign w:val="center"/>
          </w:tcPr>
          <w:p>
            <w:pPr>
              <w:jc w:val="center"/>
              <w:rPr>
                <w:rFonts w:hint="eastAsia" w:ascii="宋体" w:cs="宋体"/>
                <w:sz w:val="20"/>
                <w:lang w:eastAsia="zh-CN"/>
              </w:rPr>
            </w:pPr>
            <w:r>
              <w:rPr>
                <w:rFonts w:hint="eastAsia" w:ascii="宋体" w:cs="宋体"/>
                <w:sz w:val="20"/>
              </w:rPr>
              <w:t>指标</w:t>
            </w:r>
            <w:r>
              <w:rPr>
                <w:rFonts w:hint="eastAsia" w:ascii="宋体" w:cs="宋体"/>
                <w:sz w:val="20"/>
                <w:lang w:eastAsia="zh-CN"/>
              </w:rPr>
              <w:t>：</w:t>
            </w:r>
            <w:r>
              <w:rPr>
                <w:rFonts w:hint="eastAsia" w:ascii="宋体" w:cs="宋体"/>
                <w:sz w:val="20"/>
              </w:rPr>
              <w:t>推动互联网 政务服务的发展</w:t>
            </w:r>
          </w:p>
        </w:tc>
        <w:tc>
          <w:tcPr>
            <w:tcW w:w="4228" w:type="dxa"/>
            <w:gridSpan w:val="2"/>
            <w:tcBorders>
              <w:tl2br w:val="nil"/>
              <w:tr2bl w:val="nil"/>
            </w:tcBorders>
            <w:vAlign w:val="center"/>
          </w:tcPr>
          <w:p>
            <w:pPr>
              <w:jc w:val="center"/>
              <w:rPr>
                <w:rFonts w:hint="eastAsia" w:ascii="宋体" w:cs="宋体"/>
                <w:sz w:val="20"/>
              </w:rPr>
            </w:pPr>
            <w:r>
              <w:rPr>
                <w:rFonts w:hint="eastAsia" w:ascii="宋体" w:cs="宋体"/>
                <w:sz w:val="20"/>
              </w:rPr>
              <w:t>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continue"/>
            <w:tcBorders>
              <w:tl2br w:val="nil"/>
              <w:tr2bl w:val="nil"/>
            </w:tcBorders>
            <w:vAlign w:val="center"/>
          </w:tcPr>
          <w:p>
            <w:pPr>
              <w:jc w:val="center"/>
              <w:rPr>
                <w:rFonts w:hint="eastAsia" w:ascii="宋体" w:cs="宋体"/>
                <w:sz w:val="20"/>
              </w:rPr>
            </w:pPr>
          </w:p>
        </w:tc>
        <w:tc>
          <w:tcPr>
            <w:tcW w:w="2872" w:type="dxa"/>
            <w:tcBorders>
              <w:tl2br w:val="nil"/>
              <w:tr2bl w:val="nil"/>
            </w:tcBorders>
            <w:vAlign w:val="center"/>
          </w:tcPr>
          <w:p>
            <w:pPr>
              <w:jc w:val="center"/>
              <w:rPr>
                <w:rFonts w:hint="eastAsia" w:ascii="宋体" w:cs="宋体"/>
                <w:sz w:val="20"/>
              </w:rPr>
            </w:pPr>
            <w:r>
              <w:rPr>
                <w:rFonts w:hint="eastAsia" w:ascii="宋体" w:cs="宋体"/>
                <w:sz w:val="20"/>
              </w:rPr>
              <w:t>指标</w:t>
            </w:r>
            <w:r>
              <w:rPr>
                <w:rFonts w:hint="eastAsia" w:ascii="宋体" w:cs="宋体"/>
                <w:sz w:val="20"/>
                <w:lang w:eastAsia="zh-CN"/>
              </w:rPr>
              <w:t>：</w:t>
            </w:r>
            <w:r>
              <w:rPr>
                <w:rFonts w:hint="eastAsia" w:ascii="宋体" w:cs="宋体"/>
                <w:sz w:val="20"/>
              </w:rPr>
              <w:t>提高业务办理速度和服务能力</w:t>
            </w:r>
          </w:p>
        </w:tc>
        <w:tc>
          <w:tcPr>
            <w:tcW w:w="4228" w:type="dxa"/>
            <w:gridSpan w:val="2"/>
            <w:tcBorders>
              <w:tl2br w:val="nil"/>
              <w:tr2bl w:val="nil"/>
            </w:tcBorders>
            <w:vAlign w:val="center"/>
          </w:tcPr>
          <w:p>
            <w:pPr>
              <w:jc w:val="center"/>
              <w:rPr>
                <w:rFonts w:hint="eastAsia" w:ascii="宋体" w:cs="宋体"/>
                <w:sz w:val="20"/>
              </w:rPr>
            </w:pPr>
            <w:r>
              <w:rPr>
                <w:rFonts w:hint="eastAsia" w:ascii="宋体" w:cs="宋体"/>
                <w:sz w:val="20"/>
              </w:rPr>
              <w:t>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jc w:val="center"/>
              <w:rPr>
                <w:rFonts w:hint="eastAsia" w:ascii="宋体" w:cs="宋体"/>
                <w:sz w:val="20"/>
              </w:rPr>
            </w:pPr>
            <w:r>
              <w:rPr>
                <w:rFonts w:hint="eastAsia" w:ascii="宋体" w:cs="宋体"/>
                <w:sz w:val="20"/>
              </w:rPr>
              <w:t>生态效益指标</w:t>
            </w:r>
          </w:p>
        </w:tc>
        <w:tc>
          <w:tcPr>
            <w:tcW w:w="2872" w:type="dxa"/>
            <w:tcBorders>
              <w:tl2br w:val="nil"/>
              <w:tr2bl w:val="nil"/>
            </w:tcBorders>
            <w:vAlign w:val="center"/>
          </w:tcPr>
          <w:p>
            <w:pPr>
              <w:jc w:val="center"/>
              <w:rPr>
                <w:rFonts w:hint="eastAsia" w:ascii="宋体" w:cs="宋体"/>
                <w:sz w:val="20"/>
                <w:lang w:eastAsia="zh-CN"/>
              </w:rPr>
            </w:pPr>
            <w:r>
              <w:rPr>
                <w:rFonts w:hint="eastAsia" w:ascii="宋体" w:cs="宋体"/>
                <w:sz w:val="20"/>
              </w:rPr>
              <w:t>指标</w:t>
            </w:r>
            <w:r>
              <w:rPr>
                <w:rFonts w:hint="eastAsia" w:ascii="宋体" w:cs="宋体"/>
                <w:sz w:val="20"/>
                <w:lang w:eastAsia="zh-CN"/>
              </w:rPr>
              <w:t>：</w:t>
            </w:r>
            <w:r>
              <w:rPr>
                <w:rFonts w:hint="eastAsia" w:ascii="宋体" w:cs="宋体"/>
                <w:sz w:val="20"/>
              </w:rPr>
              <w:t>对生态环境产生的影响</w:t>
            </w:r>
          </w:p>
        </w:tc>
        <w:tc>
          <w:tcPr>
            <w:tcW w:w="4228" w:type="dxa"/>
            <w:gridSpan w:val="2"/>
            <w:tcBorders>
              <w:tl2br w:val="nil"/>
              <w:tr2bl w:val="nil"/>
            </w:tcBorders>
            <w:vAlign w:val="center"/>
          </w:tcPr>
          <w:p>
            <w:pPr>
              <w:jc w:val="center"/>
              <w:rPr>
                <w:rFonts w:hint="eastAsia" w:ascii="宋体" w:cs="宋体"/>
                <w:sz w:val="20"/>
              </w:rPr>
            </w:pPr>
            <w:r>
              <w:rPr>
                <w:rFonts w:hint="eastAsia" w:ascii="宋体" w:cs="宋体"/>
                <w:sz w:val="20"/>
              </w:rPr>
              <w:t>较低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restart"/>
            <w:tcBorders>
              <w:tl2br w:val="nil"/>
              <w:tr2bl w:val="nil"/>
            </w:tcBorders>
            <w:vAlign w:val="center"/>
          </w:tcPr>
          <w:p>
            <w:pPr>
              <w:jc w:val="center"/>
              <w:rPr>
                <w:rFonts w:hint="eastAsia" w:ascii="宋体" w:cs="宋体"/>
                <w:sz w:val="20"/>
              </w:rPr>
            </w:pPr>
            <w:r>
              <w:rPr>
                <w:rFonts w:hint="eastAsia" w:ascii="宋体" w:cs="宋体"/>
                <w:sz w:val="20"/>
              </w:rPr>
              <w:t>可持续影响指标</w:t>
            </w:r>
          </w:p>
        </w:tc>
        <w:tc>
          <w:tcPr>
            <w:tcW w:w="2872" w:type="dxa"/>
            <w:tcBorders>
              <w:tl2br w:val="nil"/>
              <w:tr2bl w:val="nil"/>
            </w:tcBorders>
            <w:vAlign w:val="center"/>
          </w:tcPr>
          <w:p>
            <w:pPr>
              <w:jc w:val="center"/>
              <w:rPr>
                <w:rFonts w:hint="eastAsia" w:ascii="宋体" w:cs="宋体"/>
                <w:sz w:val="20"/>
                <w:lang w:eastAsia="zh-CN"/>
              </w:rPr>
            </w:pPr>
            <w:r>
              <w:rPr>
                <w:rFonts w:hint="eastAsia" w:ascii="宋体" w:cs="宋体"/>
                <w:sz w:val="20"/>
              </w:rPr>
              <w:t>指标</w:t>
            </w:r>
            <w:r>
              <w:rPr>
                <w:rFonts w:hint="eastAsia" w:ascii="宋体" w:cs="宋体"/>
                <w:sz w:val="20"/>
                <w:lang w:eastAsia="zh-CN"/>
              </w:rPr>
              <w:t>：</w:t>
            </w:r>
            <w:r>
              <w:rPr>
                <w:rFonts w:hint="eastAsia" w:ascii="宋体" w:cs="宋体"/>
                <w:sz w:val="20"/>
              </w:rPr>
              <w:t>保障业务系统持续稳定运转、持续发挥职能的改善或提升程度</w:t>
            </w:r>
          </w:p>
        </w:tc>
        <w:tc>
          <w:tcPr>
            <w:tcW w:w="4228" w:type="dxa"/>
            <w:gridSpan w:val="2"/>
            <w:tcBorders>
              <w:tl2br w:val="nil"/>
              <w:tr2bl w:val="nil"/>
            </w:tcBorders>
            <w:vAlign w:val="center"/>
          </w:tcPr>
          <w:p>
            <w:pPr>
              <w:jc w:val="center"/>
              <w:rPr>
                <w:rFonts w:hint="eastAsia" w:ascii="宋体" w:cs="宋体"/>
                <w:sz w:val="20"/>
              </w:rPr>
            </w:pPr>
            <w:r>
              <w:rPr>
                <w:rFonts w:hint="eastAsia" w:ascii="宋体" w:cs="宋体"/>
                <w:sz w:val="20"/>
              </w:rPr>
              <w:t>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vMerge w:val="continue"/>
            <w:tcBorders>
              <w:tl2br w:val="nil"/>
              <w:tr2bl w:val="nil"/>
            </w:tcBorders>
            <w:vAlign w:val="center"/>
          </w:tcPr>
          <w:p>
            <w:pPr>
              <w:jc w:val="center"/>
              <w:rPr>
                <w:rFonts w:hint="eastAsia" w:ascii="宋体" w:cs="宋体"/>
                <w:sz w:val="20"/>
              </w:rPr>
            </w:pPr>
          </w:p>
        </w:tc>
        <w:tc>
          <w:tcPr>
            <w:tcW w:w="2872" w:type="dxa"/>
            <w:tcBorders>
              <w:tl2br w:val="nil"/>
              <w:tr2bl w:val="nil"/>
            </w:tcBorders>
            <w:vAlign w:val="center"/>
          </w:tcPr>
          <w:p>
            <w:pPr>
              <w:jc w:val="center"/>
              <w:rPr>
                <w:rFonts w:hint="eastAsia" w:ascii="宋体" w:cs="宋体"/>
                <w:sz w:val="20"/>
                <w:lang w:eastAsia="zh-CN"/>
              </w:rPr>
            </w:pPr>
            <w:r>
              <w:rPr>
                <w:rFonts w:hint="eastAsia" w:ascii="宋体" w:cs="宋体"/>
                <w:sz w:val="20"/>
                <w:lang w:val="en-US" w:eastAsia="zh-CN"/>
              </w:rPr>
              <w:t>指标：</w:t>
            </w:r>
            <w:r>
              <w:rPr>
                <w:rFonts w:hint="eastAsia" w:ascii="宋体" w:cs="宋体"/>
                <w:sz w:val="20"/>
              </w:rPr>
              <w:t>信息系统后续可用性及稳定性的持续影响程度</w:t>
            </w:r>
          </w:p>
        </w:tc>
        <w:tc>
          <w:tcPr>
            <w:tcW w:w="4228" w:type="dxa"/>
            <w:gridSpan w:val="2"/>
            <w:tcBorders>
              <w:tl2br w:val="nil"/>
              <w:tr2bl w:val="nil"/>
            </w:tcBorders>
            <w:vAlign w:val="center"/>
          </w:tcPr>
          <w:p>
            <w:pPr>
              <w:jc w:val="center"/>
              <w:rPr>
                <w:rFonts w:hint="eastAsia" w:ascii="宋体" w:cs="宋体"/>
                <w:sz w:val="20"/>
              </w:rPr>
            </w:pPr>
            <w:r>
              <w:rPr>
                <w:rFonts w:hint="eastAsia" w:ascii="宋体" w:cs="宋体"/>
                <w:sz w:val="20"/>
              </w:rPr>
              <w:t>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tcBorders>
              <w:tl2br w:val="nil"/>
              <w:tr2bl w:val="nil"/>
            </w:tcBorders>
            <w:vAlign w:val="center"/>
          </w:tcPr>
          <w:p>
            <w:pPr>
              <w:widowControl/>
              <w:spacing w:line="200" w:lineRule="exact"/>
              <w:jc w:val="center"/>
              <w:rPr>
                <w:rFonts w:ascii="宋体" w:hAnsi="宋体" w:eastAsia="宋体" w:cs="宋体"/>
                <w:sz w:val="20"/>
              </w:rPr>
            </w:pPr>
            <w:r>
              <w:rPr>
                <w:rFonts w:hint="eastAsia" w:ascii="宋体" w:hAnsi="宋体" w:eastAsia="宋体" w:cs="宋体"/>
                <w:sz w:val="20"/>
              </w:rPr>
              <w:t>满意度指标</w:t>
            </w:r>
          </w:p>
        </w:tc>
        <w:tc>
          <w:tcPr>
            <w:tcW w:w="759" w:type="dxa"/>
            <w:gridSpan w:val="2"/>
            <w:tcBorders>
              <w:tl2br w:val="nil"/>
              <w:tr2bl w:val="nil"/>
            </w:tcBorders>
            <w:vAlign w:val="center"/>
          </w:tcPr>
          <w:p>
            <w:pPr>
              <w:jc w:val="center"/>
              <w:rPr>
                <w:rFonts w:hint="eastAsia" w:ascii="宋体" w:cs="宋体"/>
                <w:sz w:val="20"/>
              </w:rPr>
            </w:pPr>
            <w:r>
              <w:rPr>
                <w:rFonts w:hint="eastAsia" w:ascii="宋体" w:cs="宋体"/>
                <w:sz w:val="20"/>
              </w:rPr>
              <w:t>满意度指标</w:t>
            </w:r>
          </w:p>
        </w:tc>
        <w:tc>
          <w:tcPr>
            <w:tcW w:w="2872" w:type="dxa"/>
            <w:tcBorders>
              <w:tl2br w:val="nil"/>
              <w:tr2bl w:val="nil"/>
            </w:tcBorders>
            <w:vAlign w:val="center"/>
          </w:tcPr>
          <w:p>
            <w:pPr>
              <w:jc w:val="center"/>
              <w:rPr>
                <w:rFonts w:hint="eastAsia" w:ascii="宋体" w:cs="宋体"/>
                <w:sz w:val="20"/>
                <w:lang w:eastAsia="zh-CN"/>
              </w:rPr>
            </w:pPr>
            <w:r>
              <w:rPr>
                <w:rFonts w:hint="eastAsia" w:ascii="宋体" w:cs="宋体"/>
                <w:sz w:val="20"/>
              </w:rPr>
              <w:t>指标</w:t>
            </w:r>
            <w:r>
              <w:rPr>
                <w:rFonts w:hint="eastAsia" w:ascii="宋体" w:cs="宋体"/>
                <w:sz w:val="20"/>
                <w:lang w:eastAsia="zh-CN"/>
              </w:rPr>
              <w:t>：</w:t>
            </w:r>
            <w:r>
              <w:rPr>
                <w:rFonts w:hint="eastAsia" w:ascii="宋体" w:cs="宋体"/>
                <w:sz w:val="20"/>
              </w:rPr>
              <w:t>服务对象满意度</w:t>
            </w:r>
          </w:p>
        </w:tc>
        <w:tc>
          <w:tcPr>
            <w:tcW w:w="4228" w:type="dxa"/>
            <w:gridSpan w:val="2"/>
            <w:tcBorders>
              <w:tl2br w:val="nil"/>
              <w:tr2bl w:val="nil"/>
            </w:tcBorders>
            <w:vAlign w:val="center"/>
          </w:tcPr>
          <w:p>
            <w:pPr>
              <w:jc w:val="center"/>
              <w:rPr>
                <w:rFonts w:hint="default" w:ascii="宋体" w:cs="宋体"/>
                <w:sz w:val="20"/>
                <w:lang w:val="en-US"/>
              </w:rPr>
            </w:pPr>
            <w:r>
              <w:rPr>
                <w:rFonts w:hint="eastAsia" w:ascii="宋体" w:cs="宋体"/>
                <w:sz w:val="20"/>
              </w:rPr>
              <w:t>≥90</w:t>
            </w:r>
            <w:r>
              <w:rPr>
                <w:rFonts w:hint="default" w:ascii="宋体" w:cs="宋体"/>
                <w:sz w:val="20"/>
                <w:lang w:val="en-US"/>
              </w:rPr>
              <w:t>%</w:t>
            </w:r>
            <w:bookmarkStart w:id="0" w:name="_GoBack"/>
            <w:bookmarkEnd w:id="0"/>
          </w:p>
        </w:tc>
      </w:tr>
    </w:tbl>
    <w:p>
      <w:pPr>
        <w:pStyle w:val="5"/>
        <w:adjustRightInd w:val="0"/>
        <w:snapToGrid w:val="0"/>
        <w:spacing w:line="560" w:lineRule="exact"/>
        <w:rPr>
          <w:rFonts w:ascii="TimesNewRoman" w:hAnsi="TimesNewRoman" w:eastAsia="楷体_GB2312" w:cs="TimesNewRoman"/>
          <w:color w:val="FF0000"/>
          <w:sz w:val="32"/>
          <w:szCs w:val="32"/>
        </w:rPr>
      </w:pPr>
    </w:p>
    <w:p>
      <w:pPr>
        <w:adjustRightInd w:val="0"/>
        <w:snapToGrid w:val="0"/>
        <w:spacing w:line="580" w:lineRule="exact"/>
        <w:ind w:firstLine="643" w:firstLineChars="200"/>
        <w:rPr>
          <w:rFonts w:ascii="TimesNewRoman" w:hAnsi="TimesNewRoman" w:eastAsia="楷体_GB2312" w:cs="TimesNewRoman"/>
          <w:color w:val="FF0000"/>
          <w:sz w:val="32"/>
          <w:szCs w:val="32"/>
        </w:rPr>
      </w:pPr>
      <w:r>
        <w:rPr>
          <w:rFonts w:hint="eastAsia" w:ascii="TimesNewRoman" w:hAnsi="TimesNewRoman" w:eastAsia="仿宋_GB2312" w:cs="TimesNewRoman"/>
          <w:b/>
          <w:sz w:val="32"/>
          <w:szCs w:val="32"/>
        </w:rPr>
        <w:t>（二）机关运行经费。</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w:t>
      </w:r>
      <w:r>
        <w:rPr>
          <w:rFonts w:hint="eastAsia" w:ascii="TimesNewRoman" w:hAnsi="TimesNewRoman" w:eastAsia="仿宋_GB2312" w:cs="TimesNewRoman"/>
          <w:kern w:val="0"/>
          <w:sz w:val="32"/>
          <w:szCs w:val="32"/>
          <w:lang w:val="en-US" w:eastAsia="zh-CN"/>
        </w:rPr>
        <w:t>住房公积金管理中心</w:t>
      </w:r>
      <w:r>
        <w:rPr>
          <w:rFonts w:hint="eastAsia" w:ascii="TimesNewRoman" w:hAnsi="TimesNewRoman" w:eastAsia="仿宋_GB2312" w:cs="TimesNewRoman"/>
          <w:kern w:val="0"/>
          <w:sz w:val="32"/>
          <w:szCs w:val="32"/>
        </w:rPr>
        <w:t>为非参照公务员法管理的事业单位，按照部门预算机关运行经费口径，2024年无机关运行经费财政拨款预算。</w:t>
      </w:r>
    </w:p>
    <w:p>
      <w:pPr>
        <w:adjustRightInd w:val="0"/>
        <w:snapToGrid w:val="0"/>
        <w:spacing w:line="580" w:lineRule="exact"/>
        <w:ind w:firstLine="643" w:firstLineChars="200"/>
        <w:rPr>
          <w:rFonts w:ascii="TimesNewRoman" w:hAnsi="TimesNewRoman" w:eastAsia="仿宋_GB2312" w:cs="TimesNewRoman"/>
          <w:b/>
          <w:sz w:val="32"/>
          <w:szCs w:val="32"/>
        </w:rPr>
      </w:pPr>
      <w:r>
        <w:rPr>
          <w:rFonts w:hint="eastAsia" w:ascii="TimesNewRoman" w:hAnsi="TimesNewRoman" w:eastAsia="仿宋_GB2312" w:cs="TimesNewRoman"/>
          <w:b/>
          <w:sz w:val="32"/>
          <w:szCs w:val="32"/>
        </w:rPr>
        <w:t>（三）政府采购情况。</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淮北市</w:t>
      </w:r>
      <w:r>
        <w:rPr>
          <w:rFonts w:hint="eastAsia" w:ascii="TimesNewRoman" w:hAnsi="TimesNewRoman" w:eastAsia="仿宋_GB2312" w:cs="TimesNewRoman"/>
          <w:kern w:val="0"/>
          <w:sz w:val="32"/>
          <w:szCs w:val="32"/>
          <w:lang w:val="en-US" w:eastAsia="zh-CN"/>
        </w:rPr>
        <w:t>住房公积金管理中心</w:t>
      </w:r>
      <w:r>
        <w:rPr>
          <w:rFonts w:hint="eastAsia" w:ascii="TimesNewRoman" w:hAnsi="TimesNewRoman" w:eastAsia="仿宋_GB2312" w:cs="TimesNewRoman"/>
          <w:kern w:val="0"/>
          <w:sz w:val="32"/>
          <w:szCs w:val="32"/>
        </w:rPr>
        <w:t>2024年政府采购预算</w:t>
      </w:r>
      <w:r>
        <w:rPr>
          <w:rFonts w:hint="default" w:ascii="TimesNewRoman" w:hAnsi="TimesNewRoman" w:eastAsia="仿宋_GB2312" w:cs="TimesNewRoman"/>
          <w:kern w:val="0"/>
          <w:sz w:val="32"/>
          <w:szCs w:val="32"/>
          <w:lang w:val="en-US"/>
        </w:rPr>
        <w:t>175.00</w:t>
      </w:r>
      <w:r>
        <w:rPr>
          <w:rFonts w:hint="eastAsia" w:ascii="TimesNewRoman" w:hAnsi="TimesNewRoman" w:eastAsia="仿宋_GB2312" w:cs="TimesNewRoman"/>
          <w:kern w:val="0"/>
          <w:sz w:val="32"/>
          <w:szCs w:val="32"/>
        </w:rPr>
        <w:t>万元。其中：政府采购货物预算</w:t>
      </w:r>
      <w:r>
        <w:rPr>
          <w:rFonts w:hint="default" w:ascii="TimesNewRoman" w:hAnsi="TimesNewRoman" w:eastAsia="仿宋_GB2312" w:cs="TimesNewRoman"/>
          <w:kern w:val="0"/>
          <w:sz w:val="32"/>
          <w:szCs w:val="32"/>
          <w:lang w:val="en-US"/>
        </w:rPr>
        <w:t>0</w:t>
      </w:r>
      <w:r>
        <w:rPr>
          <w:rFonts w:hint="eastAsia" w:ascii="TimesNewRoman" w:hAnsi="TimesNewRoman" w:eastAsia="仿宋_GB2312" w:cs="TimesNewRoman"/>
          <w:kern w:val="0"/>
          <w:sz w:val="32"/>
          <w:szCs w:val="32"/>
        </w:rPr>
        <w:t>万元，政府采购工程预算</w:t>
      </w:r>
      <w:r>
        <w:rPr>
          <w:rFonts w:hint="default" w:ascii="TimesNewRoman" w:hAnsi="TimesNewRoman" w:eastAsia="仿宋_GB2312" w:cs="TimesNewRoman"/>
          <w:kern w:val="0"/>
          <w:sz w:val="32"/>
          <w:szCs w:val="32"/>
          <w:lang w:val="en-US"/>
        </w:rPr>
        <w:t>0</w:t>
      </w:r>
      <w:r>
        <w:rPr>
          <w:rFonts w:hint="eastAsia" w:ascii="TimesNewRoman" w:hAnsi="TimesNewRoman" w:eastAsia="仿宋_GB2312" w:cs="TimesNewRoman"/>
          <w:kern w:val="0"/>
          <w:sz w:val="32"/>
          <w:szCs w:val="32"/>
        </w:rPr>
        <w:t>万元，政府采购服务预算</w:t>
      </w:r>
      <w:r>
        <w:rPr>
          <w:rFonts w:hint="default" w:ascii="TimesNewRoman" w:hAnsi="TimesNewRoman" w:eastAsia="仿宋_GB2312" w:cs="TimesNewRoman"/>
          <w:kern w:val="0"/>
          <w:sz w:val="32"/>
          <w:szCs w:val="32"/>
          <w:lang w:val="en-US"/>
        </w:rPr>
        <w:t>175.00</w:t>
      </w:r>
      <w:r>
        <w:rPr>
          <w:rFonts w:hint="eastAsia" w:ascii="TimesNewRoman" w:hAnsi="TimesNewRoman" w:eastAsia="仿宋_GB2312" w:cs="TimesNewRoman"/>
          <w:kern w:val="0"/>
          <w:sz w:val="32"/>
          <w:szCs w:val="32"/>
        </w:rPr>
        <w:t>万元。</w:t>
      </w:r>
    </w:p>
    <w:p>
      <w:pPr>
        <w:adjustRightInd w:val="0"/>
        <w:snapToGrid w:val="0"/>
        <w:spacing w:line="580" w:lineRule="exact"/>
        <w:ind w:firstLine="643" w:firstLineChars="200"/>
        <w:rPr>
          <w:rFonts w:ascii="TimesNewRoman" w:hAnsi="TimesNewRoman" w:eastAsia="仿宋_GB2312" w:cs="TimesNewRoman"/>
          <w:b/>
          <w:sz w:val="32"/>
          <w:szCs w:val="32"/>
        </w:rPr>
      </w:pPr>
      <w:r>
        <w:rPr>
          <w:rFonts w:hint="eastAsia" w:ascii="TimesNewRoman" w:hAnsi="TimesNewRoman" w:eastAsia="仿宋_GB2312" w:cs="TimesNewRoman"/>
          <w:b/>
          <w:sz w:val="32"/>
          <w:szCs w:val="32"/>
        </w:rPr>
        <w:t>（四）国有资产占有使用情况。</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截至2023年12月31日，淮北市</w:t>
      </w:r>
      <w:r>
        <w:rPr>
          <w:rFonts w:hint="eastAsia" w:ascii="TimesNewRoman" w:hAnsi="TimesNewRoman" w:eastAsia="仿宋_GB2312" w:cs="TimesNewRoman"/>
          <w:kern w:val="0"/>
          <w:sz w:val="32"/>
          <w:szCs w:val="32"/>
          <w:lang w:val="en-US" w:eastAsia="zh-CN"/>
        </w:rPr>
        <w:t>住房公积金管理中心</w:t>
      </w:r>
      <w:r>
        <w:rPr>
          <w:rFonts w:hint="eastAsia" w:ascii="TimesNewRoman" w:hAnsi="TimesNewRoman" w:eastAsia="仿宋_GB2312" w:cs="TimesNewRoman"/>
          <w:kern w:val="0"/>
          <w:sz w:val="32"/>
          <w:szCs w:val="32"/>
        </w:rPr>
        <w:t>共有车辆</w:t>
      </w:r>
      <w:r>
        <w:rPr>
          <w:rFonts w:hint="default" w:ascii="TimesNewRoman" w:hAnsi="TimesNewRoman" w:eastAsia="仿宋_GB2312" w:cs="TimesNewRoman"/>
          <w:kern w:val="0"/>
          <w:sz w:val="32"/>
          <w:szCs w:val="32"/>
          <w:lang w:val="en-US"/>
        </w:rPr>
        <w:t>3</w:t>
      </w:r>
      <w:r>
        <w:rPr>
          <w:rFonts w:hint="eastAsia" w:ascii="TimesNewRoman" w:hAnsi="TimesNewRoman" w:eastAsia="仿宋_GB2312" w:cs="TimesNewRoman"/>
          <w:kern w:val="0"/>
          <w:sz w:val="32"/>
          <w:szCs w:val="32"/>
        </w:rPr>
        <w:t>辆，其中：其他用车</w:t>
      </w:r>
      <w:r>
        <w:rPr>
          <w:rFonts w:hint="default" w:ascii="TimesNewRoman" w:hAnsi="TimesNewRoman" w:eastAsia="仿宋_GB2312" w:cs="TimesNewRoman"/>
          <w:kern w:val="0"/>
          <w:sz w:val="32"/>
          <w:szCs w:val="32"/>
          <w:lang w:val="en-US"/>
        </w:rPr>
        <w:t>3</w:t>
      </w:r>
      <w:r>
        <w:rPr>
          <w:rFonts w:hint="eastAsia" w:ascii="TimesNewRoman" w:hAnsi="TimesNewRoman" w:eastAsia="仿宋_GB2312" w:cs="TimesNewRoman"/>
          <w:kern w:val="0"/>
          <w:sz w:val="32"/>
          <w:szCs w:val="32"/>
        </w:rPr>
        <w:t>辆。单价50万元以上的通用设备</w:t>
      </w:r>
      <w:r>
        <w:rPr>
          <w:rFonts w:hint="default" w:ascii="TimesNewRoman" w:hAnsi="TimesNewRoman" w:eastAsia="仿宋_GB2312" w:cs="TimesNewRoman"/>
          <w:kern w:val="0"/>
          <w:sz w:val="32"/>
          <w:szCs w:val="32"/>
          <w:lang w:val="en-US"/>
        </w:rPr>
        <w:t>0</w:t>
      </w:r>
      <w:r>
        <w:rPr>
          <w:rFonts w:hint="eastAsia" w:ascii="TimesNewRoman" w:hAnsi="TimesNewRoman" w:eastAsia="仿宋_GB2312" w:cs="TimesNewRoman"/>
          <w:kern w:val="0"/>
          <w:sz w:val="32"/>
          <w:szCs w:val="32"/>
        </w:rPr>
        <w:t>台（套），单价100万元以上的专用设备</w:t>
      </w:r>
      <w:r>
        <w:rPr>
          <w:rFonts w:hint="default" w:ascii="TimesNewRoman" w:hAnsi="TimesNewRoman" w:eastAsia="仿宋_GB2312" w:cs="TimesNewRoman"/>
          <w:kern w:val="0"/>
          <w:sz w:val="32"/>
          <w:szCs w:val="32"/>
          <w:lang w:val="en-US"/>
        </w:rPr>
        <w:t>0</w:t>
      </w:r>
      <w:r>
        <w:rPr>
          <w:rFonts w:hint="eastAsia" w:ascii="TimesNewRoman" w:hAnsi="TimesNewRoman" w:eastAsia="仿宋_GB2312" w:cs="TimesNewRoman"/>
          <w:kern w:val="0"/>
          <w:sz w:val="32"/>
          <w:szCs w:val="32"/>
        </w:rPr>
        <w:t>台（套）。</w:t>
      </w:r>
    </w:p>
    <w:p>
      <w:pPr>
        <w:ind w:firstLine="640" w:firstLineChars="200"/>
        <w:rPr>
          <w:rFonts w:ascii="TimesNewRoman" w:hAnsi="TimesNewRoman" w:eastAsia="楷体_GB2312" w:cs="TimesNewRoman"/>
          <w:color w:val="FF0000"/>
          <w:sz w:val="32"/>
          <w:szCs w:val="32"/>
        </w:rPr>
      </w:pPr>
      <w:r>
        <w:rPr>
          <w:rFonts w:hint="eastAsia" w:ascii="TimesNewRoman" w:hAnsi="TimesNewRoman" w:eastAsia="仿宋_GB2312" w:cs="TimesNewRoman"/>
          <w:kern w:val="0"/>
          <w:sz w:val="32"/>
          <w:szCs w:val="32"/>
        </w:rPr>
        <w:t>2024年部门（单位）预算安排购置公务用车</w:t>
      </w:r>
      <w:r>
        <w:rPr>
          <w:rFonts w:hint="default" w:ascii="TimesNewRoman" w:hAnsi="TimesNewRoman" w:eastAsia="仿宋_GB2312" w:cs="TimesNewRoman"/>
          <w:kern w:val="0"/>
          <w:sz w:val="32"/>
          <w:szCs w:val="32"/>
          <w:lang w:val="en-US"/>
        </w:rPr>
        <w:t>0</w:t>
      </w:r>
      <w:r>
        <w:rPr>
          <w:rFonts w:hint="eastAsia" w:ascii="TimesNewRoman" w:hAnsi="TimesNewRoman" w:eastAsia="仿宋_GB2312" w:cs="TimesNewRoman"/>
          <w:kern w:val="0"/>
          <w:sz w:val="32"/>
          <w:szCs w:val="32"/>
        </w:rPr>
        <w:t>辆，购置费</w:t>
      </w:r>
      <w:r>
        <w:rPr>
          <w:rFonts w:hint="default" w:ascii="TimesNewRoman" w:hAnsi="TimesNewRoman" w:eastAsia="仿宋_GB2312" w:cs="TimesNewRoman"/>
          <w:kern w:val="0"/>
          <w:sz w:val="32"/>
          <w:szCs w:val="32"/>
          <w:lang w:val="en-US"/>
        </w:rPr>
        <w:t>0</w:t>
      </w:r>
      <w:r>
        <w:rPr>
          <w:rFonts w:hint="eastAsia" w:ascii="TimesNewRoman" w:hAnsi="TimesNewRoman" w:eastAsia="仿宋_GB2312" w:cs="TimesNewRoman"/>
          <w:kern w:val="0"/>
          <w:sz w:val="32"/>
          <w:szCs w:val="32"/>
        </w:rPr>
        <w:t>万元；安排购置单价50万元以上的通用设备</w:t>
      </w:r>
      <w:r>
        <w:rPr>
          <w:rFonts w:hint="default" w:ascii="TimesNewRoman" w:hAnsi="TimesNewRoman" w:eastAsia="仿宋_GB2312" w:cs="TimesNewRoman"/>
          <w:kern w:val="0"/>
          <w:sz w:val="32"/>
          <w:szCs w:val="32"/>
          <w:lang w:val="en-US"/>
        </w:rPr>
        <w:t>0</w:t>
      </w:r>
      <w:r>
        <w:rPr>
          <w:rFonts w:hint="eastAsia" w:ascii="TimesNewRoman" w:hAnsi="TimesNewRoman" w:eastAsia="仿宋_GB2312" w:cs="TimesNewRoman"/>
          <w:kern w:val="0"/>
          <w:sz w:val="32"/>
          <w:szCs w:val="32"/>
        </w:rPr>
        <w:t>台（套），购置费</w:t>
      </w:r>
      <w:r>
        <w:rPr>
          <w:rFonts w:hint="default" w:ascii="TimesNewRoman" w:hAnsi="TimesNewRoman" w:eastAsia="仿宋_GB2312" w:cs="TimesNewRoman"/>
          <w:kern w:val="0"/>
          <w:sz w:val="32"/>
          <w:szCs w:val="32"/>
          <w:lang w:val="en-US"/>
        </w:rPr>
        <w:t>0</w:t>
      </w:r>
      <w:r>
        <w:rPr>
          <w:rFonts w:hint="eastAsia" w:ascii="TimesNewRoman" w:hAnsi="TimesNewRoman" w:eastAsia="仿宋_GB2312" w:cs="TimesNewRoman"/>
          <w:kern w:val="0"/>
          <w:sz w:val="32"/>
          <w:szCs w:val="32"/>
        </w:rPr>
        <w:t>万元；安排购置单价100万元以上专用设备</w:t>
      </w:r>
      <w:r>
        <w:rPr>
          <w:rFonts w:hint="default" w:ascii="TimesNewRoman" w:hAnsi="TimesNewRoman" w:eastAsia="仿宋_GB2312" w:cs="TimesNewRoman"/>
          <w:kern w:val="0"/>
          <w:sz w:val="32"/>
          <w:szCs w:val="32"/>
          <w:lang w:val="en-US"/>
        </w:rPr>
        <w:t>0</w:t>
      </w:r>
      <w:r>
        <w:rPr>
          <w:rFonts w:hint="eastAsia" w:ascii="TimesNewRoman" w:hAnsi="TimesNewRoman" w:eastAsia="仿宋_GB2312" w:cs="TimesNewRoman"/>
          <w:kern w:val="0"/>
          <w:sz w:val="32"/>
          <w:szCs w:val="32"/>
        </w:rPr>
        <w:t>台（套），购置费</w:t>
      </w:r>
      <w:r>
        <w:rPr>
          <w:rFonts w:hint="default" w:ascii="TimesNewRoman" w:hAnsi="TimesNewRoman" w:eastAsia="仿宋_GB2312" w:cs="TimesNewRoman"/>
          <w:kern w:val="0"/>
          <w:sz w:val="32"/>
          <w:szCs w:val="32"/>
          <w:lang w:val="en-US"/>
        </w:rPr>
        <w:t>0</w:t>
      </w:r>
      <w:r>
        <w:rPr>
          <w:rFonts w:hint="eastAsia" w:ascii="TimesNewRoman" w:hAnsi="TimesNewRoman" w:eastAsia="仿宋_GB2312" w:cs="TimesNewRoman"/>
          <w:kern w:val="0"/>
          <w:sz w:val="32"/>
          <w:szCs w:val="32"/>
        </w:rPr>
        <w:t>万元。</w:t>
      </w:r>
    </w:p>
    <w:p>
      <w:pPr>
        <w:adjustRightInd w:val="0"/>
        <w:snapToGrid w:val="0"/>
        <w:spacing w:line="580" w:lineRule="exact"/>
        <w:ind w:firstLine="643" w:firstLineChars="200"/>
        <w:rPr>
          <w:rFonts w:ascii="TimesNewRoman" w:hAnsi="TimesNewRoman" w:eastAsia="仿宋_GB2312" w:cs="TimesNewRoman"/>
          <w:b/>
          <w:sz w:val="32"/>
          <w:szCs w:val="32"/>
        </w:rPr>
      </w:pPr>
      <w:r>
        <w:rPr>
          <w:rFonts w:hint="eastAsia" w:ascii="TimesNewRoman" w:hAnsi="TimesNewRoman" w:eastAsia="仿宋_GB2312" w:cs="TimesNewRoman"/>
          <w:b/>
          <w:sz w:val="32"/>
          <w:szCs w:val="32"/>
        </w:rPr>
        <w:t>（五）绩效目标设置情况。</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2024年，淮北市</w:t>
      </w:r>
      <w:r>
        <w:rPr>
          <w:rFonts w:hint="eastAsia" w:ascii="TimesNewRoman" w:hAnsi="TimesNewRoman" w:eastAsia="仿宋_GB2312" w:cs="TimesNewRoman"/>
          <w:kern w:val="0"/>
          <w:sz w:val="32"/>
          <w:szCs w:val="32"/>
          <w:lang w:val="en-US" w:eastAsia="zh-CN"/>
        </w:rPr>
        <w:t>住房公积金管理中心</w:t>
      </w:r>
      <w:r>
        <w:rPr>
          <w:rFonts w:hint="default" w:ascii="TimesNewRoman" w:hAnsi="TimesNewRoman" w:eastAsia="仿宋_GB2312" w:cs="TimesNewRoman"/>
          <w:kern w:val="0"/>
          <w:sz w:val="32"/>
          <w:szCs w:val="32"/>
          <w:lang w:val="en-US" w:eastAsia="zh-CN"/>
        </w:rPr>
        <w:t>8</w:t>
      </w:r>
      <w:r>
        <w:rPr>
          <w:rFonts w:hint="eastAsia" w:ascii="TimesNewRoman" w:hAnsi="TimesNewRoman" w:eastAsia="仿宋_GB2312" w:cs="TimesNewRoman"/>
          <w:kern w:val="0"/>
          <w:sz w:val="32"/>
          <w:szCs w:val="32"/>
        </w:rPr>
        <w:t>个项目实行了绩效目标管理，涉及一般公共预算当年财政拨款</w:t>
      </w:r>
      <w:r>
        <w:rPr>
          <w:rFonts w:hint="default" w:ascii="TimesNewRoman" w:hAnsi="TimesNewRoman" w:eastAsia="仿宋_GB2312" w:cs="TimesNewRoman"/>
          <w:kern w:val="0"/>
          <w:sz w:val="32"/>
          <w:szCs w:val="32"/>
          <w:lang w:val="en-US"/>
        </w:rPr>
        <w:t>1181.81</w:t>
      </w:r>
      <w:r>
        <w:rPr>
          <w:rFonts w:hint="eastAsia" w:ascii="TimesNewRoman" w:hAnsi="TimesNewRoman" w:eastAsia="仿宋_GB2312" w:cs="TimesNewRoman"/>
          <w:kern w:val="0"/>
          <w:sz w:val="32"/>
          <w:szCs w:val="32"/>
        </w:rPr>
        <w:t>万元、政府性基金预算当年财政拨款</w:t>
      </w:r>
      <w:r>
        <w:rPr>
          <w:rFonts w:hint="default" w:ascii="TimesNewRoman" w:hAnsi="TimesNewRoman" w:eastAsia="仿宋_GB2312" w:cs="TimesNewRoman"/>
          <w:kern w:val="0"/>
          <w:sz w:val="32"/>
          <w:szCs w:val="32"/>
          <w:lang w:val="en-US"/>
        </w:rPr>
        <w:t>0</w:t>
      </w:r>
      <w:r>
        <w:rPr>
          <w:rFonts w:hint="eastAsia" w:ascii="TimesNewRoman" w:hAnsi="TimesNewRoman" w:eastAsia="仿宋_GB2312" w:cs="TimesNewRoman"/>
          <w:kern w:val="0"/>
          <w:sz w:val="32"/>
          <w:szCs w:val="32"/>
        </w:rPr>
        <w:t>万元、财政专户管理资金当年安排</w:t>
      </w:r>
      <w:r>
        <w:rPr>
          <w:rFonts w:hint="default" w:ascii="TimesNewRoman" w:hAnsi="TimesNewRoman" w:eastAsia="仿宋_GB2312" w:cs="TimesNewRoman"/>
          <w:kern w:val="0"/>
          <w:sz w:val="32"/>
          <w:szCs w:val="32"/>
          <w:lang w:val="en-US"/>
        </w:rPr>
        <w:t>0</w:t>
      </w:r>
      <w:r>
        <w:rPr>
          <w:rFonts w:hint="eastAsia" w:ascii="TimesNewRoman" w:hAnsi="TimesNewRoman" w:eastAsia="仿宋_GB2312" w:cs="TimesNewRoman"/>
          <w:kern w:val="0"/>
          <w:sz w:val="32"/>
          <w:szCs w:val="32"/>
        </w:rPr>
        <w:t>万元。</w:t>
      </w:r>
    </w:p>
    <w:p>
      <w:pPr>
        <w:pStyle w:val="5"/>
        <w:adjustRightInd w:val="0"/>
        <w:snapToGrid w:val="0"/>
        <w:spacing w:line="560" w:lineRule="exact"/>
        <w:jc w:val="center"/>
        <w:rPr>
          <w:rFonts w:ascii="TimesNewRoman" w:hAnsi="TimesNewRoman" w:eastAsia="黑体" w:cs="TimesNewRoman"/>
          <w:bCs/>
          <w:sz w:val="36"/>
          <w:szCs w:val="36"/>
        </w:rPr>
      </w:pPr>
    </w:p>
    <w:p>
      <w:pPr>
        <w:pStyle w:val="5"/>
        <w:adjustRightInd w:val="0"/>
        <w:snapToGrid w:val="0"/>
        <w:spacing w:line="560" w:lineRule="exact"/>
        <w:jc w:val="center"/>
        <w:rPr>
          <w:rFonts w:ascii="TimesNewRoman" w:hAnsi="TimesNewRoman" w:eastAsia="黑体" w:cs="TimesNewRoman"/>
          <w:bCs/>
          <w:sz w:val="36"/>
          <w:szCs w:val="36"/>
        </w:rPr>
      </w:pPr>
      <w:r>
        <w:rPr>
          <w:rFonts w:hint="eastAsia" w:ascii="TimesNewRoman" w:hAnsi="TimesNewRoman" w:eastAsia="黑体" w:cs="TimesNewRoman"/>
          <w:bCs/>
          <w:sz w:val="36"/>
          <w:szCs w:val="36"/>
        </w:rPr>
        <w:t>第四部分 名词解释</w:t>
      </w:r>
    </w:p>
    <w:p/>
    <w:p>
      <w:pPr>
        <w:pStyle w:val="5"/>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一、财政拨款收入：</w:t>
      </w:r>
      <w:r>
        <w:rPr>
          <w:rFonts w:hint="eastAsia" w:ascii="TimesNewRoman" w:hAnsi="TimesNewRoman" w:eastAsia="仿宋_GB2312" w:cs="TimesNewRoman"/>
          <w:sz w:val="32"/>
          <w:szCs w:val="32"/>
        </w:rPr>
        <w:t>指部门或单位从同级财政部门取得的财政预算资金。</w:t>
      </w:r>
    </w:p>
    <w:p>
      <w:pPr>
        <w:pStyle w:val="5"/>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二、事业收入：</w:t>
      </w:r>
      <w:r>
        <w:rPr>
          <w:rFonts w:hint="eastAsia" w:ascii="TimesNewRoman" w:hAnsi="TimesNewRoman" w:eastAsia="仿宋_GB2312" w:cs="TimesNewRoman"/>
          <w:sz w:val="32"/>
          <w:szCs w:val="32"/>
        </w:rPr>
        <w:t>指事业单位开展专业业务活动及辅助活动所取得的收入。</w:t>
      </w:r>
    </w:p>
    <w:p>
      <w:pPr>
        <w:pStyle w:val="5"/>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三、财政专户管理资金：</w:t>
      </w:r>
      <w:r>
        <w:rPr>
          <w:rFonts w:hint="eastAsia" w:ascii="TimesNewRoman" w:hAnsi="TimesNewRoman" w:eastAsia="仿宋_GB2312" w:cs="TimesNewRoman"/>
          <w:sz w:val="32"/>
          <w:szCs w:val="32"/>
        </w:rPr>
        <w:t>指按照非税收入管理相关规定，纳入财政专户管理的教育收费等。</w:t>
      </w:r>
    </w:p>
    <w:p>
      <w:pPr>
        <w:pStyle w:val="5"/>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四、事业单位经营收入：</w:t>
      </w:r>
      <w:r>
        <w:rPr>
          <w:rFonts w:hint="eastAsia" w:ascii="TimesNewRoman" w:hAnsi="TimesNewRoman" w:eastAsia="仿宋_GB2312" w:cs="TimesNewRoman"/>
          <w:sz w:val="32"/>
          <w:szCs w:val="32"/>
        </w:rPr>
        <w:t>指事业单位在专业业务活动及其辅助活动之外开展非独立核算经营活动取得的收入。</w:t>
      </w:r>
    </w:p>
    <w:p>
      <w:pPr>
        <w:pStyle w:val="5"/>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五、附属单位上缴收入：</w:t>
      </w:r>
      <w:r>
        <w:rPr>
          <w:rFonts w:hint="eastAsia" w:ascii="TimesNewRoman" w:hAnsi="TimesNewRoman" w:eastAsia="仿宋_GB2312" w:cs="TimesNewRoman"/>
          <w:sz w:val="32"/>
          <w:szCs w:val="32"/>
        </w:rPr>
        <w:t>本单位所属下级单位上缴给本单位的全部收入。</w:t>
      </w:r>
    </w:p>
    <w:p>
      <w:pPr>
        <w:pStyle w:val="5"/>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六、上年结转：</w:t>
      </w:r>
      <w:r>
        <w:rPr>
          <w:rFonts w:hint="eastAsia" w:ascii="TimesNewRoman" w:hAnsi="TimesNewRoman" w:eastAsia="仿宋_GB2312" w:cs="TimesNewRoman"/>
          <w:sz w:val="32"/>
          <w:szCs w:val="32"/>
        </w:rPr>
        <w:t>指以前年度安排、结转到本年仍按原用途继续使用的资金。</w:t>
      </w:r>
    </w:p>
    <w:p>
      <w:pPr>
        <w:pStyle w:val="5"/>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七、结转下年：</w:t>
      </w:r>
      <w:r>
        <w:rPr>
          <w:rFonts w:hint="eastAsia" w:ascii="TimesNewRoman" w:hAnsi="TimesNewRoman" w:eastAsia="仿宋_GB2312" w:cs="TimesNewRoman"/>
          <w:sz w:val="32"/>
          <w:szCs w:val="32"/>
        </w:rPr>
        <w:t>指以前年度预算安排、因客观条件发生变化无法按原计划实施，需以后年度按原用途继续使用的资金。</w:t>
      </w:r>
    </w:p>
    <w:p>
      <w:pPr>
        <w:pStyle w:val="5"/>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八、基本支出：</w:t>
      </w:r>
      <w:r>
        <w:rPr>
          <w:rFonts w:hint="eastAsia" w:ascii="TimesNewRoman" w:hAnsi="TimesNewRoman" w:eastAsia="仿宋_GB2312" w:cs="TimesNewRoman"/>
          <w:sz w:val="32"/>
          <w:szCs w:val="32"/>
        </w:rPr>
        <w:t>指为保障机构正常运转、完成日常工作任务而发生的人员支出和公用支出。</w:t>
      </w:r>
    </w:p>
    <w:p>
      <w:pPr>
        <w:pStyle w:val="5"/>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九、项目支出：</w:t>
      </w:r>
      <w:r>
        <w:rPr>
          <w:rFonts w:hint="eastAsia" w:ascii="TimesNewRoman" w:hAnsi="TimesNewRoman" w:eastAsia="仿宋_GB2312" w:cs="TimesNewRoman"/>
          <w:sz w:val="32"/>
          <w:szCs w:val="32"/>
        </w:rPr>
        <w:t>指在除基本支出之外的支出，主要用于完成特定的工作任务和事业发展目标。</w:t>
      </w:r>
    </w:p>
    <w:p>
      <w:pPr>
        <w:pStyle w:val="5"/>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 xml:space="preserve">十、机关运行经费: </w:t>
      </w:r>
      <w:r>
        <w:rPr>
          <w:rFonts w:hint="eastAsia" w:ascii="TimesNewRoman" w:hAnsi="TimesNewRoman" w:eastAsia="仿宋_GB2312" w:cs="TimesNewRoman"/>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
    <w:p/>
    <w:p/>
    <w:p/>
    <w:sectPr>
      <w:pgSz w:w="11906" w:h="16838"/>
      <w:pgMar w:top="1304" w:right="1134" w:bottom="130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TimesNewRoman">
    <w:altName w:val="Arial Unicode MS"/>
    <w:panose1 w:val="00000000000000000000"/>
    <w:charset w:val="00"/>
    <w:family w:val="auto"/>
    <w:pitch w:val="default"/>
    <w:sig w:usb0="00000000" w:usb1="00000000" w:usb2="00000029" w:usb3="00000000" w:csb0="600001FF" w:csb1="FFFF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E907C4"/>
    <w:rsid w:val="000E28EE"/>
    <w:rsid w:val="00267E33"/>
    <w:rsid w:val="004A4DC6"/>
    <w:rsid w:val="0057562B"/>
    <w:rsid w:val="006546AF"/>
    <w:rsid w:val="00726D96"/>
    <w:rsid w:val="008F6D1A"/>
    <w:rsid w:val="009A3CA3"/>
    <w:rsid w:val="00AE3242"/>
    <w:rsid w:val="00BD640A"/>
    <w:rsid w:val="00DB2A5C"/>
    <w:rsid w:val="00E907C4"/>
    <w:rsid w:val="00EC7755"/>
    <w:rsid w:val="00F974AD"/>
    <w:rsid w:val="02322BBE"/>
    <w:rsid w:val="02713022"/>
    <w:rsid w:val="02FB568D"/>
    <w:rsid w:val="0398300B"/>
    <w:rsid w:val="05360AB8"/>
    <w:rsid w:val="067723EF"/>
    <w:rsid w:val="069171C9"/>
    <w:rsid w:val="08A01227"/>
    <w:rsid w:val="093E1548"/>
    <w:rsid w:val="09C8516F"/>
    <w:rsid w:val="0BBE5A6A"/>
    <w:rsid w:val="0DAD6E7A"/>
    <w:rsid w:val="0E995357"/>
    <w:rsid w:val="0EF46395"/>
    <w:rsid w:val="0F4A7F49"/>
    <w:rsid w:val="100A6CE8"/>
    <w:rsid w:val="11E5048A"/>
    <w:rsid w:val="12551E0F"/>
    <w:rsid w:val="13074420"/>
    <w:rsid w:val="13904D85"/>
    <w:rsid w:val="147612E4"/>
    <w:rsid w:val="14D85AAB"/>
    <w:rsid w:val="14EB4252"/>
    <w:rsid w:val="162E461F"/>
    <w:rsid w:val="175D4983"/>
    <w:rsid w:val="192246B1"/>
    <w:rsid w:val="192646AE"/>
    <w:rsid w:val="199D2CE1"/>
    <w:rsid w:val="1AAA765A"/>
    <w:rsid w:val="1B0E19BA"/>
    <w:rsid w:val="1B35492D"/>
    <w:rsid w:val="1B791F9A"/>
    <w:rsid w:val="1C9A62BE"/>
    <w:rsid w:val="1CE31E6C"/>
    <w:rsid w:val="1DA9594F"/>
    <w:rsid w:val="1DC32256"/>
    <w:rsid w:val="1E4829EC"/>
    <w:rsid w:val="1E9B4B90"/>
    <w:rsid w:val="1F062B77"/>
    <w:rsid w:val="1F7548A7"/>
    <w:rsid w:val="1FEA7A98"/>
    <w:rsid w:val="21CF6A63"/>
    <w:rsid w:val="22D26A44"/>
    <w:rsid w:val="2382327A"/>
    <w:rsid w:val="23F10BA4"/>
    <w:rsid w:val="26E16C36"/>
    <w:rsid w:val="2C1277A5"/>
    <w:rsid w:val="2CBF28A1"/>
    <w:rsid w:val="2D7C0FE9"/>
    <w:rsid w:val="2E7B7E08"/>
    <w:rsid w:val="2EA82540"/>
    <w:rsid w:val="2F1B4C21"/>
    <w:rsid w:val="2F2D0956"/>
    <w:rsid w:val="2FA65EB7"/>
    <w:rsid w:val="2FEA66D7"/>
    <w:rsid w:val="30824F8B"/>
    <w:rsid w:val="32D176D5"/>
    <w:rsid w:val="33A17B8E"/>
    <w:rsid w:val="33D43029"/>
    <w:rsid w:val="33EC0FF5"/>
    <w:rsid w:val="353A597D"/>
    <w:rsid w:val="357160E3"/>
    <w:rsid w:val="35796C4C"/>
    <w:rsid w:val="35BB010F"/>
    <w:rsid w:val="36525B09"/>
    <w:rsid w:val="36E13B0F"/>
    <w:rsid w:val="36FB117E"/>
    <w:rsid w:val="372867A0"/>
    <w:rsid w:val="38212366"/>
    <w:rsid w:val="390C1836"/>
    <w:rsid w:val="398D6C37"/>
    <w:rsid w:val="39947526"/>
    <w:rsid w:val="39E16DB8"/>
    <w:rsid w:val="3A7B1EEF"/>
    <w:rsid w:val="3A9D62E1"/>
    <w:rsid w:val="3C1C7EAE"/>
    <w:rsid w:val="3C7E74AB"/>
    <w:rsid w:val="3C8163CE"/>
    <w:rsid w:val="3CAA5044"/>
    <w:rsid w:val="3D7C4E45"/>
    <w:rsid w:val="3DF60621"/>
    <w:rsid w:val="3F0563DA"/>
    <w:rsid w:val="3F305339"/>
    <w:rsid w:val="3FF333FF"/>
    <w:rsid w:val="4016215C"/>
    <w:rsid w:val="414210C7"/>
    <w:rsid w:val="423032F6"/>
    <w:rsid w:val="423A4F57"/>
    <w:rsid w:val="42901DD5"/>
    <w:rsid w:val="42CB0A3F"/>
    <w:rsid w:val="44826EEF"/>
    <w:rsid w:val="46054CB2"/>
    <w:rsid w:val="47894A94"/>
    <w:rsid w:val="485602EE"/>
    <w:rsid w:val="49C520BB"/>
    <w:rsid w:val="4A9C0911"/>
    <w:rsid w:val="4B3B5CCA"/>
    <w:rsid w:val="4B500B1D"/>
    <w:rsid w:val="4B71310B"/>
    <w:rsid w:val="4B953FB5"/>
    <w:rsid w:val="4C145334"/>
    <w:rsid w:val="4C350704"/>
    <w:rsid w:val="4C35294F"/>
    <w:rsid w:val="4CAD055C"/>
    <w:rsid w:val="4CDA0089"/>
    <w:rsid w:val="4D2B5D67"/>
    <w:rsid w:val="4D970FD4"/>
    <w:rsid w:val="4DC61B7C"/>
    <w:rsid w:val="4E066C47"/>
    <w:rsid w:val="4E537359"/>
    <w:rsid w:val="4F4F4A6A"/>
    <w:rsid w:val="4F524535"/>
    <w:rsid w:val="506A155D"/>
    <w:rsid w:val="51FB67C4"/>
    <w:rsid w:val="5230069D"/>
    <w:rsid w:val="52DD4415"/>
    <w:rsid w:val="532D50E6"/>
    <w:rsid w:val="53CD054C"/>
    <w:rsid w:val="53FB6135"/>
    <w:rsid w:val="54641514"/>
    <w:rsid w:val="547E3961"/>
    <w:rsid w:val="54B22057"/>
    <w:rsid w:val="569C2F81"/>
    <w:rsid w:val="570068A9"/>
    <w:rsid w:val="57DF4146"/>
    <w:rsid w:val="583C2BD2"/>
    <w:rsid w:val="594A0920"/>
    <w:rsid w:val="5A58566F"/>
    <w:rsid w:val="5B394620"/>
    <w:rsid w:val="5B403175"/>
    <w:rsid w:val="5BBB7A30"/>
    <w:rsid w:val="5C45187B"/>
    <w:rsid w:val="5C662402"/>
    <w:rsid w:val="5C6C0A97"/>
    <w:rsid w:val="5D860ADF"/>
    <w:rsid w:val="5EFC400B"/>
    <w:rsid w:val="5FA67655"/>
    <w:rsid w:val="611D56B7"/>
    <w:rsid w:val="61F26ABB"/>
    <w:rsid w:val="62E40F5C"/>
    <w:rsid w:val="638C7DCB"/>
    <w:rsid w:val="63EB7549"/>
    <w:rsid w:val="65BA7864"/>
    <w:rsid w:val="66366D43"/>
    <w:rsid w:val="67343A2D"/>
    <w:rsid w:val="67D20094"/>
    <w:rsid w:val="687F47A3"/>
    <w:rsid w:val="68C82FB6"/>
    <w:rsid w:val="69190CAB"/>
    <w:rsid w:val="69BA587A"/>
    <w:rsid w:val="69DF44F6"/>
    <w:rsid w:val="6A4106FB"/>
    <w:rsid w:val="6BC4756B"/>
    <w:rsid w:val="6CB77CC4"/>
    <w:rsid w:val="6E0C5FEE"/>
    <w:rsid w:val="6E180A5C"/>
    <w:rsid w:val="6ED96FC8"/>
    <w:rsid w:val="6F2A73C6"/>
    <w:rsid w:val="6F954BA3"/>
    <w:rsid w:val="718A2BA8"/>
    <w:rsid w:val="71DC0A76"/>
    <w:rsid w:val="72843451"/>
    <w:rsid w:val="72CC3FED"/>
    <w:rsid w:val="748C6889"/>
    <w:rsid w:val="74D22543"/>
    <w:rsid w:val="753A4112"/>
    <w:rsid w:val="75554852"/>
    <w:rsid w:val="75751FB8"/>
    <w:rsid w:val="75EB04BD"/>
    <w:rsid w:val="76256C82"/>
    <w:rsid w:val="76787FF6"/>
    <w:rsid w:val="777E6775"/>
    <w:rsid w:val="778C52AC"/>
    <w:rsid w:val="782A001C"/>
    <w:rsid w:val="79185D54"/>
    <w:rsid w:val="7A0102E0"/>
    <w:rsid w:val="7A9D3CB9"/>
    <w:rsid w:val="7AEA74C9"/>
    <w:rsid w:val="7B2439F1"/>
    <w:rsid w:val="7C4909A7"/>
    <w:rsid w:val="7D0C7613"/>
    <w:rsid w:val="7DF2600E"/>
    <w:rsid w:val="7F7E48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widowControl w:val="0"/>
      <w:spacing w:line="360" w:lineRule="auto"/>
      <w:ind w:firstLine="600" w:firstLineChars="200"/>
      <w:jc w:val="both"/>
    </w:pPr>
    <w:rPr>
      <w:rFonts w:ascii="Times New Roman" w:hAnsi="Times New Roman" w:eastAsia="仿宋_GB2312" w:cs="Times New Roman"/>
      <w:kern w:val="44"/>
      <w:sz w:val="30"/>
      <w:szCs w:val="24"/>
      <w:lang w:val="zh-CN" w:eastAsia="zh-CN" w:bidi="ar-SA"/>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paragraph" w:customStyle="1" w:styleId="10">
    <w:name w:val="石墨文档正文"/>
    <w:qFormat/>
    <w:uiPriority w:val="0"/>
    <w:rPr>
      <w:rFonts w:ascii="Arial Unicode MS" w:hAnsi="Arial Unicode MS" w:eastAsia="宋体" w:cs="Arial Unicode MS"/>
      <w:sz w:val="22"/>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983</Words>
  <Characters>5608</Characters>
  <Lines>46</Lines>
  <Paragraphs>13</Paragraphs>
  <TotalTime>126</TotalTime>
  <ScaleCrop>false</ScaleCrop>
  <LinksUpToDate>false</LinksUpToDate>
  <CharactersWithSpaces>6578</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2023-01-30T01:51:00Z</dcterms:created>
  <dc:creator>lenovo</dc:creator>
  <cp:lastModifiedBy>wishingstar</cp:lastModifiedBy>
  <cp:lastPrinted>2024-02-22T02:28:00Z</cp:lastPrinted>
  <dcterms:modified xsi:type="dcterms:W3CDTF">2024-03-14T09:24:26Z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42C98004623D46168897352FFBD3CCCE</vt:lpwstr>
  </property>
</Properties>
</file>