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NewRoman" w:hAnsi="TimesNewRoman" w:eastAsia="黑体" w:cs="TimesNewRoman"/>
          <w:szCs w:val="32"/>
        </w:rPr>
      </w:pPr>
      <w:r>
        <w:rPr>
          <w:rFonts w:hint="eastAsia" w:ascii="TimesNewRoman" w:hAnsi="TimesNewRoman" w:eastAsia="黑体" w:cs="TimesNewRoman"/>
          <w:szCs w:val="32"/>
        </w:rPr>
        <w:t>附件1-1</w:t>
      </w:r>
    </w:p>
    <w:p/>
    <w:p>
      <w:pPr>
        <w:rPr>
          <w:rFonts w:hint="eastAsia"/>
          <w:b/>
          <w:bCs/>
        </w:rPr>
      </w:pPr>
    </w:p>
    <w:p>
      <w:pPr>
        <w:rPr>
          <w:rFonts w:hint="eastAsia"/>
          <w:b/>
          <w:bCs/>
        </w:rPr>
      </w:pPr>
    </w:p>
    <w:p>
      <w:pPr>
        <w:rPr>
          <w:rFonts w:hint="eastAsia"/>
          <w:b/>
          <w:bCs/>
        </w:rPr>
      </w:pPr>
    </w:p>
    <w:p>
      <w:pPr>
        <w:rPr>
          <w:rFonts w:hint="eastAsia"/>
          <w:b/>
          <w:bCs/>
        </w:rPr>
      </w:pPr>
    </w:p>
    <w:p>
      <w:pPr>
        <w:rPr>
          <w:rFonts w:hint="eastAsia" w:ascii="方正小标宋_GBK" w:hAnsi="方正小标宋_GBK" w:eastAsia="方正小标宋_GBK" w:cs="方正小标宋_GBK"/>
          <w:b w:val="0"/>
          <w:bCs w:val="0"/>
          <w:sz w:val="44"/>
          <w:szCs w:val="44"/>
        </w:rPr>
      </w:pPr>
    </w:p>
    <w:p>
      <w:pPr>
        <w:spacing w:line="560" w:lineRule="exact"/>
        <w:jc w:val="center"/>
        <w:rPr>
          <w:rFonts w:hint="eastAsia" w:ascii="TimesNewRoman" w:hAnsi="TimesNewRoman" w:eastAsia="华文中宋" w:cs="TimesNewRoman"/>
          <w:b/>
          <w:sz w:val="44"/>
          <w:szCs w:val="44"/>
        </w:rPr>
      </w:pPr>
    </w:p>
    <w:p>
      <w:pPr>
        <w:spacing w:line="560" w:lineRule="exact"/>
        <w:jc w:val="center"/>
        <w:rPr>
          <w:rFonts w:hint="eastAsia" w:ascii="TimesNewRoman" w:hAnsi="TimesNewRoman" w:eastAsia="华文中宋" w:cs="TimesNewRoman"/>
          <w:b/>
          <w:sz w:val="44"/>
          <w:szCs w:val="44"/>
          <w:lang w:val="en-US" w:eastAsia="zh-CN"/>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val="en-US" w:eastAsia="zh-CN"/>
        </w:rPr>
        <w:t>住房公积金管理中心</w:t>
      </w:r>
    </w:p>
    <w:p>
      <w:pPr>
        <w:spacing w:line="560" w:lineRule="exact"/>
        <w:jc w:val="center"/>
        <w:rPr>
          <w:rFonts w:hint="eastAsia" w:ascii="TimesNewRoman" w:hAnsi="TimesNewRoman" w:eastAsia="华文中宋" w:cs="TimesNewRoman"/>
          <w:b/>
          <w:sz w:val="44"/>
          <w:szCs w:val="44"/>
        </w:rPr>
      </w:pPr>
      <w:r>
        <w:rPr>
          <w:rFonts w:hint="eastAsia" w:ascii="TimesNewRoman" w:hAnsi="TimesNewRoman" w:eastAsia="华文中宋" w:cs="TimesNewRoman"/>
          <w:b/>
          <w:sz w:val="44"/>
          <w:szCs w:val="44"/>
        </w:rPr>
        <w:t>2023年部门预算</w:t>
      </w:r>
    </w:p>
    <w:p>
      <w:pPr>
        <w:rPr>
          <w:rFonts w:hint="eastAsia" w:ascii="方正仿宋_GB2312" w:hAnsi="方正仿宋_GB2312" w:eastAsia="方正仿宋_GB2312" w:cs="方正仿宋_GB2312"/>
          <w:b w:val="0"/>
          <w:bCs/>
        </w:rPr>
      </w:pPr>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Pr>
        <w:rPr>
          <w:rFonts w:hint="eastAsia"/>
        </w:rPr>
      </w:pPr>
    </w:p>
    <w:p>
      <w:pPr>
        <w:pStyle w:val="3"/>
        <w:adjustRightInd w:val="0"/>
        <w:snapToGrid w:val="0"/>
        <w:spacing w:line="560" w:lineRule="exact"/>
        <w:jc w:val="center"/>
        <w:rPr>
          <w:rFonts w:hint="eastAsia" w:ascii="TimesNewRoman" w:hAnsi="TimesNewRoman" w:eastAsia="黑体" w:cs="TimesNewRoman"/>
          <w:bCs/>
          <w:sz w:val="44"/>
          <w:szCs w:val="44"/>
        </w:rPr>
      </w:pPr>
      <w:r>
        <w:rPr>
          <w:rFonts w:hint="eastAsia" w:ascii="TimesNewRoman" w:hAnsi="TimesNewRoman" w:eastAsia="黑体" w:cs="TimesNewRoman"/>
          <w:bCs/>
          <w:sz w:val="44"/>
          <w:szCs w:val="44"/>
        </w:rPr>
        <w:t>2023年</w:t>
      </w:r>
      <w:r>
        <w:rPr>
          <w:rFonts w:hint="eastAsia" w:ascii="TimesNewRoman" w:hAnsi="TimesNewRoman" w:eastAsia="黑体" w:cs="TimesNewRoman"/>
          <w:bCs/>
          <w:sz w:val="44"/>
          <w:szCs w:val="44"/>
          <w:lang w:val="en-US"/>
        </w:rPr>
        <w:t>2</w:t>
      </w:r>
      <w:r>
        <w:rPr>
          <w:rFonts w:hint="eastAsia" w:ascii="TimesNewRoman" w:hAnsi="TimesNewRoman" w:eastAsia="黑体" w:cs="TimesNewRoman"/>
          <w:bCs/>
          <w:sz w:val="44"/>
          <w:szCs w:val="44"/>
        </w:rPr>
        <w:t>月</w:t>
      </w:r>
    </w:p>
    <w:p>
      <w:pPr>
        <w:rPr>
          <w:rFonts w:hint="eastAsia"/>
        </w:rPr>
      </w:pPr>
    </w:p>
    <w:p>
      <w:pPr>
        <w:pStyle w:val="3"/>
        <w:adjustRightInd w:val="0"/>
        <w:snapToGrid w:val="0"/>
        <w:spacing w:line="560" w:lineRule="exact"/>
        <w:jc w:val="center"/>
        <w:rPr>
          <w:rFonts w:hint="eastAsia" w:ascii="TimesNewRoman" w:hAnsi="TimesNewRoman" w:eastAsia="黑体" w:cs="TimesNewRoman"/>
          <w:bCs/>
          <w:sz w:val="44"/>
          <w:szCs w:val="44"/>
        </w:rPr>
      </w:pPr>
    </w:p>
    <w:p>
      <w:pPr>
        <w:pStyle w:val="3"/>
        <w:adjustRightInd w:val="0"/>
        <w:snapToGrid w:val="0"/>
        <w:spacing w:line="560" w:lineRule="exact"/>
        <w:jc w:val="center"/>
        <w:rPr>
          <w:rFonts w:hint="eastAsia" w:ascii="TimesNewRoman" w:hAnsi="TimesNewRoman" w:eastAsia="黑体" w:cs="TimesNewRoman"/>
          <w:bCs/>
          <w:sz w:val="44"/>
          <w:szCs w:val="44"/>
        </w:rPr>
      </w:pPr>
    </w:p>
    <w:p>
      <w:pPr>
        <w:pStyle w:val="3"/>
        <w:adjustRightInd w:val="0"/>
        <w:snapToGrid w:val="0"/>
        <w:spacing w:line="560" w:lineRule="exact"/>
        <w:jc w:val="center"/>
        <w:rPr>
          <w:rFonts w:hint="eastAsia"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3"/>
        <w:adjustRightInd w:val="0"/>
        <w:snapToGrid w:val="0"/>
        <w:spacing w:line="40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主要职责</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3 、2023年度主要工作任务</w:t>
      </w:r>
    </w:p>
    <w:p>
      <w:pPr>
        <w:pStyle w:val="3"/>
        <w:adjustRightInd w:val="0"/>
        <w:snapToGrid w:val="0"/>
        <w:spacing w:line="40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第二部分 2023年部门（单位）预算表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2023年收支总表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2023年收入总表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2023年支出总表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2023年财政拨款收支总表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2023年一般公共预算支出表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2023年一般公共预算基本支出表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2023年政府性基金预算支出表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2023年国有资本经营预算支出表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2023年项目支出表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2023年政府采购支出表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2023年政府购买服务支出表</w:t>
      </w:r>
    </w:p>
    <w:p>
      <w:pPr>
        <w:pStyle w:val="3"/>
        <w:adjustRightInd w:val="0"/>
        <w:snapToGrid w:val="0"/>
        <w:spacing w:line="40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第三部分 2023年部门（单位）预算情况说明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1、关于2023年收支总表的说明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2、关于2023年收入总表的说明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3、关于2023年支出总表的说明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4、关于2023年财政拨款收支总表的说明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5、关于2023年一般公共预算支出表的说明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6、关于2023年一般公共预算基本支出表的说明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7、关于2023年政府性基金预算支出表的说明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8、关于2023年国有资本经营预算支出表的说明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9、关于2023年项目支出表的说明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10、关于2023年政府采购支出表的说明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11、关于2023年政府购买服务支出表的说明</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pPr>
        <w:pStyle w:val="3"/>
        <w:adjustRightInd w:val="0"/>
        <w:snapToGrid w:val="0"/>
        <w:spacing w:line="40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3"/>
        <w:adjustRightInd w:val="0"/>
        <w:snapToGrid w:val="0"/>
        <w:spacing w:line="40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2023年部门预算纳入绩效考评项目表</w:t>
      </w:r>
    </w:p>
    <w:p>
      <w:pPr>
        <w:pStyle w:val="3"/>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val="en-US" w:eastAsia="zh-CN"/>
        </w:rPr>
        <w:t>住房公积金管理中心</w:t>
      </w:r>
      <w:r>
        <w:rPr>
          <w:rFonts w:hint="eastAsia" w:ascii="TimesNewRoman" w:hAnsi="TimesNewRoman" w:eastAsia="仿宋_GB2312" w:cs="TimesNewRoman"/>
          <w:bCs/>
          <w:sz w:val="32"/>
          <w:szCs w:val="32"/>
        </w:rPr>
        <w:t>2023年部门预算专项资金管理清单（专栏公开）</w:t>
      </w:r>
    </w:p>
    <w:p>
      <w:pPr>
        <w:pStyle w:val="3"/>
        <w:adjustRightInd w:val="0"/>
        <w:snapToGrid w:val="0"/>
        <w:spacing w:line="400" w:lineRule="exact"/>
        <w:ind w:firstLine="800" w:firstLineChars="250"/>
        <w:rPr>
          <w:rFonts w:hint="eastAsia" w:ascii="方正仿宋_GB2312" w:hAnsi="方正仿宋_GB2312" w:eastAsia="方正仿宋_GB2312" w:cs="方正仿宋_GB2312"/>
          <w:bCs/>
          <w:sz w:val="32"/>
          <w:szCs w:val="32"/>
        </w:rPr>
      </w:pPr>
    </w:p>
    <w:p>
      <w:pPr>
        <w:pStyle w:val="3"/>
        <w:adjustRightInd w:val="0"/>
        <w:snapToGrid w:val="0"/>
        <w:spacing w:line="560" w:lineRule="exact"/>
        <w:jc w:val="center"/>
        <w:rPr>
          <w:rFonts w:hint="eastAsia"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1、履行国务院《住房公积金管理条例》赋于的职责，执行住房公积金管理委员会的决策；</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2、负责本行政区域内住房公积金的归集，使用和管理工作；</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3、依法接受省和同级政府有关职能部门的监督管理和社会监督；</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4、编制执行住房公积金的归集、使用计划；</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5、负责记载职工住房公积金的缴存、提取、使用等情况；</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6、负责住房公积金的核算；</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7、审批住房公积金的提取、使用；</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8、负责住房公积金的保值和归还；</w:t>
      </w:r>
    </w:p>
    <w:p>
      <w:pPr>
        <w:spacing w:line="52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9、编制住房公积金归集、使用计划的执行情况的报告；</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10、承办住房公积金管理委员会决定的其他事项。</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pPr>
        <w:pStyle w:val="3"/>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从预算单位构成看，淮北市</w:t>
      </w:r>
      <w:r>
        <w:rPr>
          <w:rFonts w:hint="eastAsia" w:ascii="TimesNewRoman" w:hAnsi="TimesNewRoman" w:eastAsia="仿宋_GB2312" w:cs="TimesNewRoman"/>
          <w:sz w:val="32"/>
          <w:szCs w:val="32"/>
          <w:lang w:val="en-US" w:eastAsia="zh-CN"/>
        </w:rPr>
        <w:t>住房公积金管理中心</w:t>
      </w:r>
      <w:r>
        <w:rPr>
          <w:rFonts w:hint="eastAsia" w:ascii="TimesNewRoman" w:hAnsi="TimesNewRoman" w:eastAsia="仿宋_GB2312" w:cs="TimesNewRoman"/>
          <w:sz w:val="32"/>
          <w:szCs w:val="32"/>
        </w:rPr>
        <w:t>2023年度部门预算仅包括</w:t>
      </w:r>
      <w:r>
        <w:rPr>
          <w:rFonts w:hint="eastAsia" w:ascii="TimesNewRoman" w:hAnsi="TimesNewRoman" w:eastAsia="仿宋_GB2312" w:cs="TimesNewRoman"/>
          <w:sz w:val="32"/>
          <w:szCs w:val="32"/>
          <w:lang w:val="en-US" w:eastAsia="zh-CN"/>
        </w:rPr>
        <w:t>市中心</w:t>
      </w:r>
      <w:r>
        <w:rPr>
          <w:rFonts w:hint="eastAsia" w:ascii="TimesNewRoman" w:hAnsi="TimesNewRoman" w:eastAsia="仿宋_GB2312" w:cs="TimesNewRoman"/>
          <w:sz w:val="32"/>
          <w:szCs w:val="32"/>
        </w:rPr>
        <w:t>本级预算，无其他下属单位预算。</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三、2023年度主要工作任务</w:t>
      </w:r>
    </w:p>
    <w:p>
      <w:pPr>
        <w:ind w:firstLine="320" w:firstLineChars="1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 xml:space="preserve"> 2023年淮北市住房公积金管理中心将深入贯彻落实二十大精神，进一步完善住房公积金制度建设，规范住房公积金管理，完成淮北矿业分中心和皖北煤电分中心的归并工作，坚持转作风提效能，为淮北市住房公积金事业的发展做出更大贡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b/>
          <w:bCs/>
          <w:kern w:val="2"/>
          <w:sz w:val="32"/>
          <w:szCs w:val="32"/>
          <w:lang w:val="en-US" w:eastAsia="zh-CN" w:bidi="ar-SA"/>
        </w:rPr>
        <w:t>1.扎实开展“惠民公积金、服务暖人心”活动</w:t>
      </w:r>
      <w:r>
        <w:rPr>
          <w:rFonts w:hint="eastAsia" w:ascii="楷体_GB2312" w:hAnsi="楷体_GB2312" w:eastAsia="楷体_GB2312" w:cs="楷体_GB2312"/>
          <w:b/>
          <w:bCs/>
          <w:kern w:val="2"/>
          <w:sz w:val="32"/>
          <w:szCs w:val="32"/>
          <w:lang w:val="en-US" w:eastAsia="zh-CN" w:bidi="ar-SA"/>
        </w:rPr>
        <w:t>。</w:t>
      </w:r>
      <w:r>
        <w:rPr>
          <w:rFonts w:hint="eastAsia" w:ascii="仿宋_GB2312" w:hAnsi="仿宋_GB2312" w:eastAsia="仿宋_GB2312" w:cs="仿宋_GB2312"/>
          <w:color w:val="000000"/>
          <w:sz w:val="32"/>
          <w:szCs w:val="32"/>
          <w:shd w:val="clear" w:color="auto" w:fill="FFFFFF"/>
        </w:rPr>
        <w:t>主动将提升服务质量成为住房公积金从业人员的自觉意识，打造一批</w:t>
      </w:r>
      <w:r>
        <w:rPr>
          <w:rFonts w:hint="eastAsia" w:ascii="仿宋_GB2312" w:hAnsi="仿宋_GB2312" w:eastAsia="仿宋_GB2312" w:cs="仿宋_GB2312"/>
          <w:color w:val="000000"/>
          <w:sz w:val="32"/>
          <w:szCs w:val="32"/>
          <w:shd w:val="clear" w:color="auto" w:fill="FFFFFF"/>
          <w:lang w:eastAsia="zh-CN"/>
        </w:rPr>
        <w:t>优秀</w:t>
      </w:r>
      <w:r>
        <w:rPr>
          <w:rFonts w:hint="eastAsia" w:ascii="仿宋_GB2312" w:hAnsi="仿宋_GB2312" w:eastAsia="仿宋_GB2312" w:cs="仿宋_GB2312"/>
          <w:color w:val="000000"/>
          <w:sz w:val="32"/>
          <w:szCs w:val="32"/>
          <w:shd w:val="clear" w:color="auto" w:fill="FFFFFF"/>
        </w:rPr>
        <w:t>服务</w:t>
      </w:r>
      <w:r>
        <w:rPr>
          <w:rFonts w:hint="eastAsia" w:ascii="仿宋_GB2312" w:hAnsi="仿宋_GB2312" w:eastAsia="仿宋_GB2312" w:cs="仿宋_GB2312"/>
          <w:color w:val="000000"/>
          <w:sz w:val="32"/>
          <w:szCs w:val="32"/>
          <w:shd w:val="clear" w:color="auto" w:fill="FFFFFF"/>
          <w:lang w:eastAsia="zh-CN"/>
        </w:rPr>
        <w:t>窗口</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切实</w:t>
      </w:r>
      <w:r>
        <w:rPr>
          <w:rFonts w:hint="eastAsia" w:ascii="仿宋_GB2312" w:hAnsi="仿宋_GB2312" w:eastAsia="仿宋_GB2312" w:cs="仿宋_GB2312"/>
          <w:color w:val="000000"/>
          <w:sz w:val="32"/>
          <w:szCs w:val="32"/>
          <w:shd w:val="clear" w:color="auto" w:fill="FFFFFF"/>
        </w:rPr>
        <w:t>让缴存职工感受到“惠民公积金、服务暖人心”公积金系统服务提升三年行动成效，更好地树立起公积金系统为民服务良好形象。</w:t>
      </w:r>
      <w:r>
        <w:rPr>
          <w:color w:val="000000"/>
          <w:szCs w:val="21"/>
          <w:shd w:val="clear" w:color="auto" w:fill="FFFFFF"/>
        </w:rPr>
        <w:br w:type="textWrapping"/>
      </w:r>
      <w:r>
        <w:rPr>
          <w:rFonts w:hint="eastAsia"/>
          <w:color w:val="000000"/>
          <w:szCs w:val="21"/>
          <w:shd w:val="clear" w:color="auto" w:fill="FFFFFF"/>
          <w:lang w:val="en-US" w:eastAsia="zh-CN"/>
        </w:rPr>
        <w:t xml:space="preserve">  </w:t>
      </w:r>
      <w:r>
        <w:rPr>
          <w:rFonts w:hint="eastAsia" w:ascii="仿宋_GB2312" w:hAnsi="仿宋_GB2312" w:eastAsia="仿宋_GB2312" w:cs="仿宋_GB2312"/>
          <w:color w:val="000000"/>
          <w:szCs w:val="21"/>
          <w:shd w:val="clear" w:color="auto" w:fill="FFFFFF"/>
          <w:lang w:val="en-US" w:eastAsia="zh-CN"/>
        </w:rPr>
        <w:t xml:space="preserve">    </w:t>
      </w:r>
      <w:r>
        <w:rPr>
          <w:rFonts w:hint="eastAsia" w:ascii="仿宋_GB2312" w:hAnsi="仿宋_GB2312" w:eastAsia="仿宋_GB2312" w:cs="仿宋_GB2312"/>
          <w:b/>
          <w:bCs/>
          <w:kern w:val="2"/>
          <w:sz w:val="32"/>
          <w:szCs w:val="32"/>
          <w:lang w:val="en-US" w:eastAsia="zh-CN" w:bidi="ar-SA"/>
        </w:rPr>
        <w:t>2.进一步完善“管办分离”</w:t>
      </w:r>
      <w:r>
        <w:rPr>
          <w:rFonts w:hint="eastAsia" w:ascii="楷体_GB2312" w:hAnsi="楷体_GB2312" w:eastAsia="楷体_GB2312" w:cs="楷体_GB2312"/>
          <w:b/>
          <w:bCs/>
          <w:kern w:val="2"/>
          <w:sz w:val="32"/>
          <w:szCs w:val="32"/>
          <w:lang w:val="en-US" w:eastAsia="zh-CN" w:bidi="ar-SA"/>
        </w:rPr>
        <w:t>。</w:t>
      </w:r>
      <w:r>
        <w:rPr>
          <w:rFonts w:hint="eastAsia" w:ascii="仿宋_GB2312" w:hAnsi="仿宋_GB2312" w:eastAsia="仿宋_GB2312" w:cs="仿宋_GB2312"/>
          <w:color w:val="000000"/>
          <w:sz w:val="32"/>
          <w:szCs w:val="32"/>
          <w:shd w:val="clear" w:color="auto" w:fill="FFFFFF"/>
        </w:rPr>
        <w:t>进一步完善“管办分离”</w:t>
      </w:r>
      <w:r>
        <w:rPr>
          <w:rFonts w:hint="eastAsia" w:ascii="仿宋_GB2312" w:hAnsi="仿宋_GB2312" w:eastAsia="仿宋_GB2312" w:cs="仿宋_GB2312"/>
          <w:color w:val="000000"/>
          <w:sz w:val="32"/>
          <w:szCs w:val="32"/>
          <w:shd w:val="clear" w:color="auto" w:fill="FFFFFF"/>
          <w:lang w:eastAsia="zh-CN"/>
        </w:rPr>
        <w:t>公积金运行</w:t>
      </w:r>
      <w:r>
        <w:rPr>
          <w:rFonts w:hint="eastAsia" w:ascii="仿宋_GB2312" w:hAnsi="仿宋_GB2312" w:eastAsia="仿宋_GB2312" w:cs="仿宋_GB2312"/>
          <w:color w:val="000000"/>
          <w:sz w:val="32"/>
          <w:szCs w:val="32"/>
          <w:shd w:val="clear" w:color="auto" w:fill="FFFFFF"/>
        </w:rPr>
        <w:t>模式，构建权责清晰、衔接顺畅、运转高效的</w:t>
      </w:r>
      <w:r>
        <w:rPr>
          <w:rFonts w:hint="eastAsia" w:ascii="仿宋_GB2312" w:hAnsi="仿宋_GB2312" w:eastAsia="仿宋_GB2312" w:cs="仿宋_GB2312"/>
          <w:color w:val="000000"/>
          <w:sz w:val="32"/>
          <w:szCs w:val="32"/>
          <w:shd w:val="clear" w:color="auto" w:fill="FFFFFF"/>
          <w:lang w:eastAsia="zh-CN"/>
        </w:rPr>
        <w:t>公积金“管办”</w:t>
      </w:r>
      <w:r>
        <w:rPr>
          <w:rFonts w:hint="eastAsia" w:ascii="仿宋_GB2312" w:hAnsi="仿宋_GB2312" w:eastAsia="仿宋_GB2312" w:cs="仿宋_GB2312"/>
          <w:color w:val="000000"/>
          <w:sz w:val="32"/>
          <w:szCs w:val="32"/>
          <w:shd w:val="clear" w:color="auto" w:fill="FFFFFF"/>
        </w:rPr>
        <w:t>新体系</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3.加快信息化建设</w:t>
      </w:r>
      <w:r>
        <w:rPr>
          <w:rFonts w:hint="eastAsia" w:ascii="楷体_GB2312" w:hAnsi="楷体_GB2312" w:eastAsia="楷体_GB2312" w:cs="楷体_GB2312"/>
          <w:b/>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完善智慧公积金应用，推出微信版“网上帮办”服务，推动更多业务零跑腿办理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实现“不见面”</w:t>
      </w:r>
      <w:r>
        <w:rPr>
          <w:rFonts w:hint="eastAsia" w:ascii="Times New Roman" w:hAnsi="Times New Roman" w:eastAsia="仿宋_GB2312" w:cs="Times New Roman"/>
          <w:kern w:val="2"/>
          <w:sz w:val="32"/>
          <w:szCs w:val="32"/>
          <w:lang w:val="en-US" w:eastAsia="zh-CN" w:bidi="ar-SA"/>
        </w:rPr>
        <w:t>办理</w:t>
      </w:r>
      <w:r>
        <w:rPr>
          <w:rFonts w:hint="default" w:ascii="Times New Roman" w:hAnsi="Times New Roman" w:eastAsia="仿宋_GB2312" w:cs="Times New Roman"/>
          <w:kern w:val="2"/>
          <w:sz w:val="32"/>
          <w:szCs w:val="32"/>
          <w:lang w:val="en-US" w:eastAsia="zh-CN" w:bidi="ar-SA"/>
        </w:rPr>
        <w:t>，提高</w:t>
      </w:r>
      <w:r>
        <w:rPr>
          <w:rFonts w:hint="eastAsia" w:ascii="Times New Roman" w:hAnsi="Times New Roman" w:eastAsia="仿宋_GB2312" w:cs="Times New Roman"/>
          <w:kern w:val="2"/>
          <w:sz w:val="32"/>
          <w:szCs w:val="32"/>
          <w:lang w:val="en-US" w:eastAsia="zh-CN" w:bidi="ar-SA"/>
        </w:rPr>
        <w:t>办事</w:t>
      </w:r>
      <w:r>
        <w:rPr>
          <w:rFonts w:hint="default" w:ascii="Times New Roman" w:hAnsi="Times New Roman" w:eastAsia="仿宋_GB2312" w:cs="Times New Roman"/>
          <w:kern w:val="2"/>
          <w:sz w:val="32"/>
          <w:szCs w:val="32"/>
          <w:lang w:val="en-US" w:eastAsia="zh-CN" w:bidi="ar-SA"/>
        </w:rPr>
        <w:t>效率。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NewRoman" w:hAnsi="TimesNewRoman" w:eastAsia="仿宋_GB2312" w:cs="TimesNewRoman"/>
          <w:bCs/>
          <w:sz w:val="32"/>
          <w:szCs w:val="32"/>
        </w:rPr>
      </w:pPr>
      <w:r>
        <w:rPr>
          <w:rFonts w:hint="eastAsia" w:ascii="仿宋_GB2312" w:hAnsi="仿宋_GB2312" w:eastAsia="仿宋_GB2312" w:cs="仿宋_GB2312"/>
          <w:b/>
          <w:bCs/>
          <w:kern w:val="2"/>
          <w:sz w:val="32"/>
          <w:szCs w:val="32"/>
          <w:lang w:val="en-US" w:eastAsia="zh-CN" w:bidi="ar-SA"/>
        </w:rPr>
        <w:t>4.扎实推动区域协同发展</w:t>
      </w:r>
      <w:r>
        <w:rPr>
          <w:rFonts w:hint="eastAsia" w:ascii="楷体_GB2312" w:hAnsi="楷体_GB2312" w:eastAsia="楷体_GB2312" w:cs="楷体_GB2312"/>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积极融入长三角区域、淮海经济区一体化发展，</w:t>
      </w:r>
      <w:r>
        <w:rPr>
          <w:rFonts w:hint="default" w:ascii="Times New Roman" w:hAnsi="Times New Roman" w:eastAsia="仿宋_GB2312" w:cs="Times New Roman"/>
          <w:kern w:val="2"/>
          <w:sz w:val="32"/>
          <w:szCs w:val="32"/>
          <w:lang w:val="en-US" w:eastAsia="zh-CN" w:bidi="ar-SA"/>
        </w:rPr>
        <w:t>继续加大“</w:t>
      </w:r>
      <w:r>
        <w:rPr>
          <w:rFonts w:hint="eastAsia" w:ascii="Times New Roman" w:hAnsi="Times New Roman" w:eastAsia="仿宋_GB2312" w:cs="Times New Roman"/>
          <w:kern w:val="2"/>
          <w:sz w:val="32"/>
          <w:szCs w:val="32"/>
          <w:lang w:val="en-US" w:eastAsia="zh-CN" w:bidi="ar-SA"/>
        </w:rPr>
        <w:t>互认互贷，信息共享</w:t>
      </w:r>
      <w:r>
        <w:rPr>
          <w:rFonts w:hint="default" w:ascii="Times New Roman" w:hAnsi="Times New Roman" w:eastAsia="仿宋_GB2312" w:cs="Times New Roman"/>
          <w:kern w:val="2"/>
          <w:sz w:val="32"/>
          <w:szCs w:val="32"/>
          <w:lang w:val="en-US" w:eastAsia="zh-CN" w:bidi="ar-SA"/>
        </w:rPr>
        <w:t>”政策协同力度，实现更高水平共建共享。</w:t>
      </w:r>
    </w:p>
    <w:p/>
    <w:p>
      <w:pPr>
        <w:pStyle w:val="3"/>
        <w:adjustRightInd w:val="0"/>
        <w:snapToGrid w:val="0"/>
        <w:spacing w:line="560" w:lineRule="exact"/>
        <w:jc w:val="center"/>
        <w:rPr>
          <w:rFonts w:hint="eastAsia" w:ascii="TimesNewRoman" w:hAnsi="TimesNewRoman" w:eastAsia="黑体" w:cs="TimesNewRoman"/>
          <w:bCs/>
          <w:sz w:val="36"/>
          <w:szCs w:val="36"/>
        </w:rPr>
      </w:pPr>
      <w:r>
        <w:rPr>
          <w:rFonts w:hint="eastAsia" w:ascii="TimesNewRoman" w:hAnsi="TimesNewRoman" w:eastAsia="黑体" w:cs="TimesNewRoman"/>
          <w:bCs/>
          <w:sz w:val="36"/>
          <w:szCs w:val="36"/>
        </w:rPr>
        <w:t>第二部分 2023年部门（单位）预算表</w:t>
      </w:r>
    </w:p>
    <w:p>
      <w:pPr>
        <w:pStyle w:val="3"/>
        <w:adjustRightInd w:val="0"/>
        <w:snapToGrid w:val="0"/>
        <w:spacing w:line="560" w:lineRule="exact"/>
        <w:ind w:firstLine="627" w:firstLineChars="196"/>
        <w:jc w:val="center"/>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r>
        <w:t xml:space="preserve">                                        </w:t>
      </w:r>
    </w:p>
    <w:p>
      <w:pPr>
        <w:pStyle w:val="3"/>
        <w:adjustRightInd w:val="0"/>
        <w:snapToGrid w:val="0"/>
        <w:spacing w:line="560" w:lineRule="exact"/>
        <w:jc w:val="center"/>
        <w:rPr>
          <w:rFonts w:hint="eastAsia" w:ascii="TimesNewRoman" w:hAnsi="TimesNewRoman" w:eastAsia="黑体" w:cs="TimesNewRoman"/>
          <w:bCs/>
          <w:sz w:val="36"/>
          <w:szCs w:val="36"/>
        </w:rPr>
      </w:pPr>
      <w:r>
        <w:rPr>
          <w:rFonts w:hint="eastAsia" w:ascii="TimesNewRoman" w:hAnsi="TimesNewRoman" w:eastAsia="黑体" w:cs="TimesNewRoman"/>
          <w:bCs/>
          <w:sz w:val="36"/>
          <w:szCs w:val="36"/>
        </w:rPr>
        <w:t>第三部分 2023年部门（单位）预算情况说明</w:t>
      </w:r>
    </w:p>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一、关于2023年收支总表的说明</w:t>
      </w:r>
    </w:p>
    <w:p>
      <w:pPr>
        <w:pStyle w:val="3"/>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val="en-US" w:eastAsia="zh-CN"/>
        </w:rPr>
        <w:t>住房公积金管理中心</w:t>
      </w:r>
      <w:r>
        <w:rPr>
          <w:rFonts w:hint="eastAsia" w:ascii="TimesNewRoman" w:hAnsi="TimesNewRoman" w:eastAsia="仿宋_GB2312" w:cs="TimesNewRoman"/>
          <w:sz w:val="32"/>
          <w:szCs w:val="32"/>
        </w:rPr>
        <w:t>所有收入和支出均纳入部门预算管理。淮北市</w:t>
      </w:r>
      <w:r>
        <w:rPr>
          <w:rFonts w:hint="eastAsia" w:ascii="TimesNewRoman" w:hAnsi="TimesNewRoman" w:eastAsia="仿宋_GB2312" w:cs="TimesNewRoman"/>
          <w:sz w:val="32"/>
          <w:szCs w:val="32"/>
          <w:lang w:val="en-US" w:eastAsia="zh-CN"/>
        </w:rPr>
        <w:t>住房公积金管理中心</w:t>
      </w:r>
      <w:r>
        <w:rPr>
          <w:rFonts w:hint="eastAsia" w:ascii="TimesNewRoman" w:hAnsi="TimesNewRoman" w:eastAsia="仿宋_GB2312" w:cs="TimesNewRoman"/>
          <w:sz w:val="32"/>
          <w:szCs w:val="32"/>
        </w:rPr>
        <w:t>2023年收支总预算</w:t>
      </w:r>
      <w:r>
        <w:rPr>
          <w:rFonts w:hint="default" w:ascii="TimesNewRoman" w:hAnsi="TimesNewRoman" w:eastAsia="仿宋_GB2312" w:cs="TimesNewRoman"/>
          <w:sz w:val="32"/>
          <w:szCs w:val="32"/>
          <w:lang w:val="en-US"/>
        </w:rPr>
        <w:t>2166.41</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highlight w:val="none"/>
        </w:rPr>
        <w:t>收入</w:t>
      </w:r>
      <w:r>
        <w:rPr>
          <w:rFonts w:hint="eastAsia" w:ascii="TimesNewRoman" w:hAnsi="TimesNewRoman" w:eastAsia="仿宋_GB2312" w:cs="TimesNewRoman"/>
          <w:sz w:val="32"/>
          <w:szCs w:val="32"/>
          <w:highlight w:val="none"/>
          <w:lang w:val="en-US" w:eastAsia="zh-CN"/>
        </w:rPr>
        <w:t>全部是</w:t>
      </w:r>
      <w:r>
        <w:rPr>
          <w:rFonts w:hint="eastAsia" w:ascii="TimesNewRoman" w:hAnsi="TimesNewRoman" w:eastAsia="仿宋_GB2312" w:cs="TimesNewRoman"/>
          <w:sz w:val="32"/>
          <w:szCs w:val="32"/>
          <w:highlight w:val="none"/>
        </w:rPr>
        <w:t>一般公共预算拨款收入</w:t>
      </w:r>
      <w:r>
        <w:rPr>
          <w:rFonts w:hint="eastAsia" w:ascii="TimesNewRoman" w:hAnsi="TimesNewRoman" w:eastAsia="仿宋_GB2312" w:cs="TimesNewRoman"/>
          <w:sz w:val="32"/>
          <w:szCs w:val="32"/>
          <w:highlight w:val="none"/>
          <w:lang w:val="en-US" w:eastAsia="zh-CN"/>
        </w:rPr>
        <w:t>2166.41万元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sz w:val="32"/>
          <w:szCs w:val="32"/>
        </w:rPr>
        <w:t>支出</w:t>
      </w:r>
      <w:r>
        <w:rPr>
          <w:rFonts w:hint="eastAsia" w:ascii="TimesNewRoman" w:hAnsi="TimesNewRoman" w:eastAsia="仿宋_GB2312" w:cs="TimesNewRoman"/>
          <w:sz w:val="32"/>
          <w:szCs w:val="32"/>
          <w:lang w:val="en-US" w:eastAsia="zh-CN"/>
        </w:rPr>
        <w:t>包括社会保障和就业支出、</w:t>
      </w:r>
      <w:r>
        <w:rPr>
          <w:rFonts w:hint="eastAsia" w:ascii="TimesNewRoman" w:hAnsi="TimesNewRoman" w:eastAsia="仿宋_GB2312" w:cs="TimesNewRoman"/>
          <w:sz w:val="32"/>
          <w:szCs w:val="32"/>
        </w:rPr>
        <w:t>住房保障支出。</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二、关于2023年收入总表的说明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2023年收入预算</w:t>
      </w:r>
      <w:r>
        <w:rPr>
          <w:rFonts w:hint="default" w:ascii="TimesNewRoman" w:hAnsi="TimesNewRoman" w:eastAsia="仿宋_GB2312" w:cs="TimesNewRoman"/>
          <w:kern w:val="0"/>
          <w:sz w:val="32"/>
          <w:szCs w:val="32"/>
          <w:lang w:val="en-US"/>
        </w:rPr>
        <w:t>2166.41</w:t>
      </w:r>
      <w:r>
        <w:rPr>
          <w:rFonts w:hint="eastAsia" w:ascii="TimesNewRoman" w:hAnsi="TimesNewRoman" w:eastAsia="仿宋_GB2312" w:cs="TimesNewRoman"/>
          <w:kern w:val="0"/>
          <w:sz w:val="32"/>
          <w:szCs w:val="32"/>
        </w:rPr>
        <w:t>万元，其中，本年收入</w:t>
      </w:r>
      <w:r>
        <w:rPr>
          <w:rFonts w:hint="default" w:ascii="TimesNewRoman" w:hAnsi="TimesNewRoman" w:eastAsia="仿宋_GB2312" w:cs="TimesNewRoman"/>
          <w:kern w:val="0"/>
          <w:sz w:val="32"/>
          <w:szCs w:val="32"/>
          <w:lang w:val="en-US"/>
        </w:rPr>
        <w:t>2166.41</w:t>
      </w:r>
      <w:r>
        <w:rPr>
          <w:rFonts w:hint="eastAsia" w:ascii="TimesNewRoman" w:hAnsi="TimesNewRoman" w:eastAsia="仿宋_GB2312" w:cs="TimesNewRoman"/>
          <w:kern w:val="0"/>
          <w:sz w:val="32"/>
          <w:szCs w:val="32"/>
        </w:rPr>
        <w:t>万元。</w:t>
      </w:r>
    </w:p>
    <w:p>
      <w:pPr>
        <w:ind w:firstLine="643"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b/>
          <w:kern w:val="0"/>
          <w:sz w:val="32"/>
          <w:szCs w:val="32"/>
        </w:rPr>
        <w:t>（一）本年收入</w:t>
      </w:r>
      <w:r>
        <w:rPr>
          <w:rFonts w:hint="default" w:ascii="TimesNewRoman" w:hAnsi="TimesNewRoman" w:eastAsia="仿宋_GB2312" w:cs="TimesNewRoman"/>
          <w:b/>
          <w:kern w:val="0"/>
          <w:sz w:val="32"/>
          <w:szCs w:val="32"/>
          <w:lang w:val="en-US"/>
        </w:rPr>
        <w:t>2166.41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default" w:ascii="TimesNewRoman" w:hAnsi="TimesNewRoman" w:eastAsia="仿宋_GB2312" w:cs="TimesNewRoman"/>
          <w:kern w:val="0"/>
          <w:sz w:val="32"/>
          <w:szCs w:val="32"/>
          <w:lang w:val="en-US"/>
        </w:rPr>
        <w:t>2166.41</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rPr>
        <w:t>100</w:t>
      </w:r>
      <w:r>
        <w:rPr>
          <w:rFonts w:hint="eastAsia" w:ascii="TimesNewRoman" w:hAnsi="TimesNewRoman" w:eastAsia="仿宋_GB2312" w:cs="TimesNewRoman"/>
          <w:kern w:val="0"/>
          <w:sz w:val="32"/>
          <w:szCs w:val="32"/>
        </w:rPr>
        <w:t>%，比2022年预算减少</w:t>
      </w:r>
      <w:r>
        <w:rPr>
          <w:rFonts w:hint="default" w:ascii="仿宋_GB2312" w:eastAsia="仿宋_GB2312"/>
          <w:b/>
          <w:sz w:val="32"/>
          <w:szCs w:val="32"/>
          <w:lang w:val="en-US"/>
        </w:rPr>
        <w:t>10396.63</w:t>
      </w:r>
      <w:r>
        <w:rPr>
          <w:rFonts w:hint="eastAsia" w:ascii="TimesNewRoman" w:hAnsi="TimesNewRoman" w:eastAsia="仿宋_GB2312" w:cs="TimesNewRoman"/>
          <w:kern w:val="0"/>
          <w:sz w:val="32"/>
          <w:szCs w:val="32"/>
        </w:rPr>
        <w:t>万元，下降</w:t>
      </w:r>
      <w:r>
        <w:rPr>
          <w:rFonts w:hint="default" w:ascii="TimesNewRoman" w:hAnsi="TimesNewRoman" w:eastAsia="仿宋_GB2312" w:cs="TimesNewRoman"/>
          <w:kern w:val="0"/>
          <w:sz w:val="32"/>
          <w:szCs w:val="32"/>
          <w:lang w:val="en-US"/>
        </w:rPr>
        <w:t>82.76</w:t>
      </w:r>
      <w:r>
        <w:rPr>
          <w:rFonts w:hint="eastAsia" w:ascii="TimesNewRoman" w:hAnsi="TimesNewRoman" w:eastAsia="仿宋_GB2312" w:cs="TimesNewRoman"/>
          <w:kern w:val="0"/>
          <w:sz w:val="32"/>
          <w:szCs w:val="32"/>
        </w:rPr>
        <w:t>%，原因主要</w:t>
      </w:r>
      <w:r>
        <w:rPr>
          <w:rFonts w:hint="eastAsia" w:ascii="仿宋_GB2312" w:eastAsia="仿宋_GB2312"/>
          <w:sz w:val="32"/>
          <w:szCs w:val="32"/>
        </w:rPr>
        <w:t>是</w:t>
      </w:r>
      <w:r>
        <w:rPr>
          <w:rFonts w:hint="eastAsia" w:ascii="仿宋_GB2312" w:eastAsia="仿宋_GB2312"/>
          <w:sz w:val="32"/>
          <w:szCs w:val="32"/>
          <w:highlight w:val="none"/>
          <w:lang w:val="en-US" w:eastAsia="zh-CN"/>
        </w:rPr>
        <w:t>按照中共淮北市委办公室 淮北市人民政府办公室关于印发《淮北矿业集团住房公积金管理分中心、淮北市住房公积金管理中心皖北煤电集团分中心移交接收实施方案》的通知要求，2022年市中心将完成对两个分中心的移交接收工作，移交接收工作完成后，2023年全市住房公积金实现统一核算，分中心实现的增值收益不再单独计算，从而减少了部门收入</w:t>
      </w:r>
      <w:r>
        <w:rPr>
          <w:rFonts w:hint="eastAsia" w:ascii="TimesNewRoman" w:hAnsi="TimesNewRoman" w:eastAsia="仿宋_GB2312" w:cs="TimesNewRoman"/>
          <w:kern w:val="0"/>
          <w:sz w:val="32"/>
          <w:szCs w:val="32"/>
          <w:lang w:eastAsia="zh-CN"/>
        </w:rPr>
        <w:t>。</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三、关于2023年支出总表的说明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highlight w:val="none"/>
        </w:rPr>
        <w:t>淮北市</w:t>
      </w:r>
      <w:r>
        <w:rPr>
          <w:rFonts w:hint="eastAsia" w:ascii="TimesNewRoman" w:hAnsi="TimesNewRoman" w:eastAsia="仿宋_GB2312" w:cs="TimesNewRoman"/>
          <w:kern w:val="0"/>
          <w:sz w:val="32"/>
          <w:szCs w:val="32"/>
          <w:highlight w:val="none"/>
          <w:lang w:val="en-US" w:eastAsia="zh-CN"/>
        </w:rPr>
        <w:t>住房公积金管理中心</w:t>
      </w:r>
      <w:r>
        <w:rPr>
          <w:rFonts w:hint="eastAsia" w:ascii="TimesNewRoman" w:hAnsi="TimesNewRoman" w:eastAsia="仿宋_GB2312" w:cs="TimesNewRoman"/>
          <w:kern w:val="0"/>
          <w:sz w:val="32"/>
          <w:szCs w:val="32"/>
        </w:rPr>
        <w:t>2023年支出预算</w:t>
      </w:r>
      <w:r>
        <w:rPr>
          <w:rFonts w:hint="default" w:ascii="TimesNewRoman" w:hAnsi="TimesNewRoman" w:eastAsia="仿宋_GB2312" w:cs="TimesNewRoman"/>
          <w:kern w:val="0"/>
          <w:sz w:val="32"/>
          <w:szCs w:val="32"/>
          <w:lang w:val="en-US"/>
        </w:rPr>
        <w:t>2166.41</w:t>
      </w:r>
      <w:r>
        <w:rPr>
          <w:rFonts w:hint="eastAsia" w:ascii="TimesNewRoman" w:hAnsi="TimesNewRoman" w:eastAsia="仿宋_GB2312" w:cs="TimesNewRoman"/>
          <w:kern w:val="0"/>
          <w:sz w:val="32"/>
          <w:szCs w:val="32"/>
        </w:rPr>
        <w:t>万元，比2022年预算减少</w:t>
      </w:r>
      <w:r>
        <w:rPr>
          <w:rFonts w:hint="default" w:ascii="TimesNewRoman" w:hAnsi="TimesNewRoman" w:eastAsia="仿宋_GB2312" w:cs="TimesNewRoman"/>
          <w:kern w:val="0"/>
          <w:sz w:val="32"/>
          <w:szCs w:val="32"/>
          <w:lang w:val="en-US"/>
        </w:rPr>
        <w:t>10396.63</w:t>
      </w:r>
      <w:r>
        <w:rPr>
          <w:rFonts w:hint="eastAsia" w:ascii="TimesNewRoman" w:hAnsi="TimesNewRoman" w:eastAsia="仿宋_GB2312" w:cs="TimesNewRoman"/>
          <w:kern w:val="0"/>
          <w:sz w:val="32"/>
          <w:szCs w:val="32"/>
        </w:rPr>
        <w:t>万元，下降</w:t>
      </w:r>
      <w:r>
        <w:rPr>
          <w:rFonts w:hint="default" w:ascii="TimesNewRoman" w:hAnsi="TimesNewRoman" w:eastAsia="仿宋_GB2312" w:cs="TimesNewRoman"/>
          <w:kern w:val="0"/>
          <w:sz w:val="32"/>
          <w:szCs w:val="32"/>
          <w:lang w:val="en-US"/>
        </w:rPr>
        <w:t>82.76</w:t>
      </w:r>
      <w:r>
        <w:rPr>
          <w:rFonts w:hint="eastAsia" w:ascii="TimesNewRoman" w:hAnsi="TimesNewRoman" w:eastAsia="仿宋_GB2312" w:cs="TimesNewRoman"/>
          <w:kern w:val="0"/>
          <w:sz w:val="32"/>
          <w:szCs w:val="32"/>
        </w:rPr>
        <w:t>%，原因主要</w:t>
      </w:r>
      <w:r>
        <w:rPr>
          <w:rFonts w:hint="eastAsia" w:ascii="仿宋_GB2312" w:eastAsia="仿宋_GB2312"/>
          <w:sz w:val="32"/>
          <w:szCs w:val="32"/>
        </w:rPr>
        <w:t>是</w:t>
      </w:r>
      <w:r>
        <w:rPr>
          <w:rFonts w:hint="eastAsia" w:ascii="仿宋_GB2312" w:eastAsia="仿宋_GB2312"/>
          <w:sz w:val="32"/>
          <w:szCs w:val="32"/>
          <w:highlight w:val="none"/>
          <w:lang w:val="en-US" w:eastAsia="zh-CN"/>
        </w:rPr>
        <w:t>按照中共淮北市委办公室 淮北市人民政府办公室关于印发《淮北矿业集团住房公积金管理分中心、淮北市住房公积金管理中心皖北煤电集团分中心移交接收实施方案》的通知要求，2022年市中心将完成对两个分中心的移交接收工作，移交接收工作完成后，2023年全市住房公积金实现统一核算，分中心实现的增值收益不再单独计算，从而减少了部门支出。</w:t>
      </w:r>
      <w:r>
        <w:rPr>
          <w:rFonts w:hint="eastAsia" w:ascii="TimesNewRoman" w:hAnsi="TimesNewRoman" w:eastAsia="仿宋_GB2312" w:cs="TimesNewRoman"/>
          <w:kern w:val="0"/>
          <w:sz w:val="32"/>
          <w:szCs w:val="32"/>
        </w:rPr>
        <w:t>其中，基本支出</w:t>
      </w:r>
      <w:r>
        <w:rPr>
          <w:rFonts w:hint="default" w:ascii="TimesNewRoman" w:hAnsi="TimesNewRoman" w:eastAsia="仿宋_GB2312" w:cs="TimesNewRoman"/>
          <w:kern w:val="0"/>
          <w:sz w:val="32"/>
          <w:szCs w:val="32"/>
          <w:lang w:val="en-US"/>
        </w:rPr>
        <w:t>559.22</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rPr>
        <w:t>25.81</w:t>
      </w:r>
      <w:r>
        <w:rPr>
          <w:rFonts w:hint="eastAsia" w:ascii="TimesNewRoman" w:hAnsi="TimesNewRoman" w:eastAsia="仿宋_GB2312" w:cs="TimesNewRoman"/>
          <w:kern w:val="0"/>
          <w:sz w:val="32"/>
          <w:szCs w:val="32"/>
        </w:rPr>
        <w:t>%，主要用于保障机构日常运转、完成日常工作任务；项目支出</w:t>
      </w:r>
      <w:r>
        <w:rPr>
          <w:rFonts w:hint="default" w:ascii="TimesNewRoman" w:hAnsi="TimesNewRoman" w:eastAsia="仿宋_GB2312" w:cs="TimesNewRoman"/>
          <w:kern w:val="0"/>
          <w:sz w:val="32"/>
          <w:szCs w:val="32"/>
          <w:lang w:val="en-US"/>
        </w:rPr>
        <w:t>1607.19</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rPr>
        <w:t>74.19</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kern w:val="0"/>
          <w:sz w:val="32"/>
          <w:szCs w:val="32"/>
          <w:lang w:val="en-US" w:eastAsia="zh-CN"/>
        </w:rPr>
        <w:t>办公运行经费、办公场所租赁费、办公楼运行费、单位运行劳务经费、淮矿及皖北分中心工作经费、公积金信息系统网络维护费、公积金互联网</w:t>
      </w:r>
      <w:r>
        <w:rPr>
          <w:rFonts w:hint="default"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lang w:val="en-US" w:eastAsia="zh-CN"/>
        </w:rPr>
        <w:t>政务服务升级、住房公积金综合服务平台升级、公积金系统容灾备份、电子资源管理平台等。</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四、关于2023年财政拨款收支总表的说明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2023年财政拨款收支预算</w:t>
      </w:r>
      <w:r>
        <w:rPr>
          <w:rFonts w:hint="default" w:ascii="TimesNewRoman" w:hAnsi="TimesNewRoman" w:eastAsia="仿宋_GB2312" w:cs="TimesNewRoman"/>
          <w:kern w:val="0"/>
          <w:sz w:val="32"/>
          <w:szCs w:val="32"/>
          <w:lang w:val="en-US"/>
        </w:rPr>
        <w:t>2166.41</w:t>
      </w:r>
      <w:r>
        <w:rPr>
          <w:rFonts w:hint="eastAsia" w:ascii="TimesNewRoman" w:hAnsi="TimesNewRoman" w:eastAsia="仿宋_GB2312" w:cs="TimesNewRoman"/>
          <w:kern w:val="0"/>
          <w:sz w:val="32"/>
          <w:szCs w:val="32"/>
        </w:rPr>
        <w:t>万元。收入按资金来源分为：一般公共预算拨款</w:t>
      </w:r>
      <w:r>
        <w:rPr>
          <w:rFonts w:hint="default" w:ascii="TimesNewRoman" w:hAnsi="TimesNewRoman" w:eastAsia="仿宋_GB2312" w:cs="TimesNewRoman"/>
          <w:kern w:val="0"/>
          <w:sz w:val="32"/>
          <w:szCs w:val="32"/>
          <w:lang w:val="en-US"/>
        </w:rPr>
        <w:t>2166.41</w:t>
      </w:r>
      <w:r>
        <w:rPr>
          <w:rFonts w:hint="eastAsia" w:ascii="TimesNewRoman" w:hAnsi="TimesNewRoman" w:eastAsia="仿宋_GB2312" w:cs="TimesNewRoman"/>
          <w:kern w:val="0"/>
          <w:sz w:val="32"/>
          <w:szCs w:val="32"/>
        </w:rPr>
        <w:t>万元、政府性基金预算拨款</w:t>
      </w:r>
      <w:r>
        <w:rPr>
          <w:rFonts w:hint="default" w:ascii="TimesNewRoman" w:hAnsi="TimesNewRoman" w:eastAsia="仿宋_GB2312" w:cs="TimesNewRoman"/>
          <w:kern w:val="0"/>
          <w:sz w:val="32"/>
          <w:szCs w:val="32"/>
          <w:lang w:val="en-US"/>
        </w:rPr>
        <w:t>0</w:t>
      </w:r>
      <w:r>
        <w:rPr>
          <w:rFonts w:hint="eastAsia" w:ascii="TimesNewRoman" w:hAnsi="TimesNewRoman" w:eastAsia="仿宋_GB2312" w:cs="TimesNewRoman"/>
          <w:kern w:val="0"/>
          <w:sz w:val="32"/>
          <w:szCs w:val="32"/>
        </w:rPr>
        <w:t>万元；按资金年度分为：本年财政拨款收入</w:t>
      </w:r>
      <w:r>
        <w:rPr>
          <w:rFonts w:hint="default" w:ascii="TimesNewRoman" w:hAnsi="TimesNewRoman" w:eastAsia="仿宋_GB2312" w:cs="TimesNewRoman"/>
          <w:kern w:val="0"/>
          <w:sz w:val="32"/>
          <w:szCs w:val="32"/>
          <w:lang w:val="en-US"/>
        </w:rPr>
        <w:t>2166.41</w:t>
      </w:r>
      <w:r>
        <w:rPr>
          <w:rFonts w:hint="eastAsia" w:ascii="TimesNewRoman" w:hAnsi="TimesNewRoman" w:eastAsia="仿宋_GB2312" w:cs="TimesNewRoman"/>
          <w:kern w:val="0"/>
          <w:sz w:val="32"/>
          <w:szCs w:val="32"/>
        </w:rPr>
        <w:t>万元。支出按功能分类分为：社会保障和就业支出</w:t>
      </w:r>
      <w:r>
        <w:rPr>
          <w:rFonts w:hint="default" w:ascii="TimesNewRoman" w:hAnsi="TimesNewRoman" w:eastAsia="仿宋_GB2312" w:cs="TimesNewRoman"/>
          <w:kern w:val="0"/>
          <w:sz w:val="32"/>
          <w:szCs w:val="32"/>
          <w:lang w:val="en-US"/>
        </w:rPr>
        <w:t>101.90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rPr>
        <w:t>4.70</w:t>
      </w:r>
      <w:r>
        <w:rPr>
          <w:rFonts w:hint="eastAsia" w:ascii="TimesNewRoman" w:hAnsi="TimesNewRoman" w:eastAsia="仿宋_GB2312" w:cs="TimesNewRoman"/>
          <w:kern w:val="0"/>
          <w:sz w:val="32"/>
          <w:szCs w:val="32"/>
        </w:rPr>
        <w:t>%；住房保障支出</w:t>
      </w:r>
      <w:r>
        <w:rPr>
          <w:rFonts w:hint="default" w:ascii="TimesNewRoman" w:hAnsi="TimesNewRoman" w:eastAsia="仿宋_GB2312" w:cs="TimesNewRoman"/>
          <w:kern w:val="0"/>
          <w:sz w:val="32"/>
          <w:szCs w:val="32"/>
          <w:lang w:val="en-US"/>
        </w:rPr>
        <w:t>2064.51</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rPr>
        <w:t>95.30</w:t>
      </w:r>
      <w:r>
        <w:rPr>
          <w:rFonts w:hint="eastAsia" w:ascii="TimesNewRoman" w:hAnsi="TimesNewRoman" w:eastAsia="仿宋_GB2312" w:cs="TimesNewRoman"/>
          <w:kern w:val="0"/>
          <w:sz w:val="32"/>
          <w:szCs w:val="32"/>
        </w:rPr>
        <w:t>%。</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五、关于2023年一般公共预算支出表的说明</w:t>
      </w:r>
    </w:p>
    <w:p>
      <w:pPr>
        <w:pStyle w:val="3"/>
        <w:adjustRightInd w:val="0"/>
        <w:snapToGrid w:val="0"/>
        <w:spacing w:line="560" w:lineRule="exact"/>
        <w:ind w:firstLine="630" w:firstLineChars="196"/>
        <w:rPr>
          <w:rFonts w:hint="eastAsia"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2023年一般公共预算支出</w:t>
      </w:r>
      <w:r>
        <w:rPr>
          <w:rFonts w:hint="default" w:ascii="TimesNewRoman" w:hAnsi="TimesNewRoman" w:eastAsia="仿宋_GB2312" w:cs="TimesNewRoman"/>
          <w:kern w:val="0"/>
          <w:sz w:val="32"/>
          <w:szCs w:val="32"/>
          <w:lang w:val="en-US"/>
        </w:rPr>
        <w:t>2166.41</w:t>
      </w:r>
      <w:r>
        <w:rPr>
          <w:rFonts w:hint="eastAsia" w:ascii="TimesNewRoman" w:hAnsi="TimesNewRoman" w:eastAsia="仿宋_GB2312" w:cs="TimesNewRoman"/>
          <w:kern w:val="0"/>
          <w:sz w:val="32"/>
          <w:szCs w:val="32"/>
        </w:rPr>
        <w:t>万元，比2022年预算减少</w:t>
      </w:r>
      <w:r>
        <w:rPr>
          <w:rFonts w:hint="default" w:ascii="TimesNewRoman" w:hAnsi="TimesNewRoman" w:eastAsia="仿宋_GB2312" w:cs="TimesNewRoman"/>
          <w:kern w:val="0"/>
          <w:sz w:val="32"/>
          <w:szCs w:val="32"/>
          <w:lang w:val="en-US"/>
        </w:rPr>
        <w:t>10396.63</w:t>
      </w:r>
      <w:r>
        <w:rPr>
          <w:rFonts w:hint="eastAsia" w:ascii="TimesNewRoman" w:hAnsi="TimesNewRoman" w:eastAsia="仿宋_GB2312" w:cs="TimesNewRoman"/>
          <w:kern w:val="0"/>
          <w:sz w:val="32"/>
          <w:szCs w:val="32"/>
        </w:rPr>
        <w:t>万元，下降</w:t>
      </w:r>
      <w:r>
        <w:rPr>
          <w:rFonts w:hint="default" w:ascii="TimesNewRoman" w:hAnsi="TimesNewRoman" w:eastAsia="仿宋_GB2312" w:cs="TimesNewRoman"/>
          <w:kern w:val="0"/>
          <w:sz w:val="32"/>
          <w:szCs w:val="32"/>
          <w:lang w:val="en-US"/>
        </w:rPr>
        <w:t>82.76</w:t>
      </w:r>
      <w:r>
        <w:rPr>
          <w:rFonts w:hint="eastAsia" w:ascii="TimesNewRoman" w:hAnsi="TimesNewRoman" w:eastAsia="仿宋_GB2312" w:cs="TimesNewRoman"/>
          <w:kern w:val="0"/>
          <w:sz w:val="32"/>
          <w:szCs w:val="32"/>
        </w:rPr>
        <w:t>%，主要原因：</w:t>
      </w:r>
      <w:r>
        <w:rPr>
          <w:rFonts w:hint="eastAsia" w:ascii="仿宋_GB2312" w:eastAsia="仿宋_GB2312"/>
          <w:sz w:val="32"/>
          <w:szCs w:val="32"/>
          <w:highlight w:val="none"/>
          <w:lang w:val="en-US" w:eastAsia="zh-CN"/>
        </w:rPr>
        <w:t>按照中共淮北市委办公室 淮北市人民政府办公室关于印发《淮北矿业集团住房公积金管理分中心、淮北市住房公积金管理中心皖北煤电集团分中心移交接收实施方案》的通知要求，2022年市中心将完成对两个分中心的移交接收工作，移交接收工作完成后，2023年全市住房公积金实现统一核算，分中心实现的增值收益不再单独计算，从而减少了部门支出。</w:t>
      </w:r>
    </w:p>
    <w:p>
      <w:pPr>
        <w:pStyle w:val="3"/>
        <w:adjustRightInd w:val="0"/>
        <w:snapToGrid w:val="0"/>
        <w:spacing w:line="560" w:lineRule="exact"/>
        <w:ind w:firstLine="630" w:firstLineChars="196"/>
        <w:rPr>
          <w:rFonts w:hint="eastAsia"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default" w:ascii="TimesNewRoman" w:hAnsi="TimesNewRoman" w:eastAsia="仿宋_GB2312" w:cs="TimesNewRoman"/>
          <w:kern w:val="0"/>
          <w:sz w:val="32"/>
          <w:szCs w:val="32"/>
          <w:lang w:val="en-US"/>
        </w:rPr>
        <w:t>101.90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rPr>
        <w:t>4.7</w:t>
      </w:r>
      <w:r>
        <w:rPr>
          <w:rFonts w:hint="eastAsia" w:ascii="TimesNewRoman" w:hAnsi="TimesNewRoman" w:eastAsia="仿宋_GB2312" w:cs="TimesNewRoman"/>
          <w:kern w:val="0"/>
          <w:sz w:val="32"/>
          <w:szCs w:val="32"/>
        </w:rPr>
        <w:t>%；住房保障支出</w:t>
      </w:r>
      <w:r>
        <w:rPr>
          <w:rFonts w:hint="default" w:ascii="TimesNewRoman" w:hAnsi="TimesNewRoman" w:eastAsia="仿宋_GB2312" w:cs="TimesNewRoman"/>
          <w:kern w:val="0"/>
          <w:sz w:val="32"/>
          <w:szCs w:val="32"/>
          <w:lang w:val="en-US"/>
        </w:rPr>
        <w:t>2064.51</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rPr>
        <w:t>95.30</w:t>
      </w:r>
      <w:r>
        <w:rPr>
          <w:rFonts w:hint="eastAsia" w:ascii="TimesNewRoman" w:hAnsi="TimesNewRoman" w:eastAsia="仿宋_GB2312" w:cs="TimesNewRoman"/>
          <w:kern w:val="0"/>
          <w:sz w:val="32"/>
          <w:szCs w:val="32"/>
        </w:rPr>
        <w:t>%。</w:t>
      </w:r>
    </w:p>
    <w:p>
      <w:pPr>
        <w:pStyle w:val="3"/>
        <w:adjustRightInd w:val="0"/>
        <w:snapToGrid w:val="0"/>
        <w:spacing w:line="560" w:lineRule="exact"/>
        <w:ind w:firstLine="630" w:firstLineChars="196"/>
        <w:rPr>
          <w:rFonts w:hint="eastAsia"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hint="default" w:ascii="TimesNewRoman" w:hAnsi="TimesNewRoman" w:eastAsia="仿宋_GB2312" w:cs="TimesNewRoman"/>
          <w:kern w:val="0"/>
          <w:sz w:val="32"/>
          <w:szCs w:val="32"/>
          <w:lang w:val="en-US" w:eastAsia="zh-CN"/>
        </w:rPr>
      </w:pPr>
      <w:r>
        <w:rPr>
          <w:rFonts w:hint="default" w:ascii="TimesNewRoman" w:hAnsi="TimesNewRoman" w:eastAsia="仿宋_GB2312" w:cs="TimesNewRoman"/>
          <w:kern w:val="0"/>
          <w:sz w:val="32"/>
          <w:szCs w:val="32"/>
          <w:lang w:val="en-US"/>
        </w:rPr>
        <w:t>1</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val="en-US" w:eastAsia="zh-CN"/>
        </w:rPr>
        <w:t>行政事业单位养老支出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val="en-US" w:eastAsia="zh-CN"/>
        </w:rPr>
        <w:t>机关事业单位职业年金缴费支出</w:t>
      </w:r>
      <w:r>
        <w:rPr>
          <w:rFonts w:hint="eastAsia" w:ascii="TimesNewRoman" w:hAnsi="TimesNewRoman" w:eastAsia="仿宋_GB2312" w:cs="TimesNewRoman"/>
          <w:kern w:val="0"/>
          <w:sz w:val="32"/>
          <w:szCs w:val="32"/>
        </w:rPr>
        <w:t>（项）2023年预算</w:t>
      </w:r>
      <w:r>
        <w:rPr>
          <w:rFonts w:hint="eastAsia" w:ascii="TimesNewRoman" w:hAnsi="TimesNewRoman" w:eastAsia="仿宋_GB2312" w:cs="TimesNewRoman"/>
          <w:kern w:val="0"/>
          <w:sz w:val="32"/>
          <w:szCs w:val="32"/>
          <w:lang w:val="en-US" w:eastAsia="zh-CN"/>
        </w:rPr>
        <w:t>26.13</w:t>
      </w:r>
      <w:r>
        <w:rPr>
          <w:rFonts w:hint="eastAsia" w:ascii="TimesNewRoman" w:hAnsi="TimesNewRoman" w:eastAsia="仿宋_GB2312" w:cs="TimesNewRoman"/>
          <w:kern w:val="0"/>
          <w:sz w:val="32"/>
          <w:szCs w:val="32"/>
        </w:rPr>
        <w:t>万元，比2022年预算增加</w:t>
      </w:r>
      <w:r>
        <w:rPr>
          <w:rFonts w:hint="eastAsia" w:ascii="TimesNewRoman" w:hAnsi="TimesNewRoman" w:eastAsia="仿宋_GB2312" w:cs="TimesNewRoman"/>
          <w:kern w:val="0"/>
          <w:sz w:val="32"/>
          <w:szCs w:val="32"/>
          <w:lang w:val="en-US" w:eastAsia="zh-CN"/>
        </w:rPr>
        <w:t>26.13</w:t>
      </w:r>
      <w:r>
        <w:rPr>
          <w:rFonts w:hint="eastAsia" w:ascii="TimesNewRoman" w:hAnsi="TimesNewRoman" w:eastAsia="仿宋_GB2312" w:cs="TimesNewRoman"/>
          <w:kern w:val="0"/>
          <w:sz w:val="32"/>
          <w:szCs w:val="32"/>
        </w:rPr>
        <w:t>万元，增长</w:t>
      </w:r>
      <w:r>
        <w:rPr>
          <w:rFonts w:hint="default" w:ascii="TimesNewRoman" w:hAnsi="TimesNewRoman" w:eastAsia="仿宋_GB2312" w:cs="TimesNewRoman"/>
          <w:kern w:val="0"/>
          <w:sz w:val="32"/>
          <w:szCs w:val="32"/>
          <w:lang w:val="en-US"/>
        </w:rPr>
        <w:t>100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主要原因是科目明细调整。</w:t>
      </w:r>
    </w:p>
    <w:p>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val="en-US" w:eastAsia="zh-CN"/>
        </w:rPr>
        <w:t>其他社会保障和就业支出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val="en-US" w:eastAsia="zh-CN"/>
        </w:rPr>
        <w:t>其他社会保障和就业支出</w:t>
      </w:r>
      <w:r>
        <w:rPr>
          <w:rFonts w:hint="eastAsia" w:ascii="TimesNewRoman" w:hAnsi="TimesNewRoman" w:eastAsia="仿宋_GB2312" w:cs="TimesNewRoman"/>
          <w:kern w:val="0"/>
          <w:sz w:val="32"/>
          <w:szCs w:val="32"/>
        </w:rPr>
        <w:t>（项）2023年预算</w:t>
      </w:r>
      <w:r>
        <w:rPr>
          <w:rFonts w:hint="eastAsia" w:ascii="TimesNewRoman" w:hAnsi="TimesNewRoman" w:eastAsia="仿宋_GB2312" w:cs="TimesNewRoman"/>
          <w:kern w:val="0"/>
          <w:sz w:val="32"/>
          <w:szCs w:val="32"/>
          <w:lang w:val="en-US" w:eastAsia="zh-CN"/>
        </w:rPr>
        <w:t>75.77</w:t>
      </w:r>
      <w:r>
        <w:rPr>
          <w:rFonts w:hint="eastAsia" w:ascii="TimesNewRoman" w:hAnsi="TimesNewRoman" w:eastAsia="仿宋_GB2312" w:cs="TimesNewRoman"/>
          <w:kern w:val="0"/>
          <w:sz w:val="32"/>
          <w:szCs w:val="32"/>
        </w:rPr>
        <w:t>万元，比2022年预算增加</w:t>
      </w:r>
      <w:r>
        <w:rPr>
          <w:rFonts w:hint="eastAsia" w:ascii="TimesNewRoman" w:hAnsi="TimesNewRoman" w:eastAsia="仿宋_GB2312" w:cs="TimesNewRoman"/>
          <w:kern w:val="0"/>
          <w:sz w:val="32"/>
          <w:szCs w:val="32"/>
          <w:lang w:val="en-US" w:eastAsia="zh-CN"/>
        </w:rPr>
        <w:t>75.77</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%，主要原因是</w:t>
      </w:r>
      <w:r>
        <w:rPr>
          <w:rFonts w:hint="eastAsia" w:ascii="TimesNewRoman" w:hAnsi="TimesNewRoman" w:eastAsia="仿宋_GB2312" w:cs="TimesNewRoman"/>
          <w:kern w:val="0"/>
          <w:sz w:val="32"/>
          <w:szCs w:val="32"/>
          <w:lang w:val="en-US" w:eastAsia="zh-CN"/>
        </w:rPr>
        <w:t>科目明细调整</w:t>
      </w:r>
      <w:r>
        <w:rPr>
          <w:rFonts w:hint="eastAsia" w:ascii="TimesNewRoman" w:hAnsi="TimesNewRoman" w:eastAsia="仿宋_GB2312" w:cs="TimesNewRoman"/>
          <w:kern w:val="0"/>
          <w:sz w:val="32"/>
          <w:szCs w:val="32"/>
        </w:rPr>
        <w:t>。</w:t>
      </w:r>
      <w:bookmarkStart w:id="0" w:name="_GoBack"/>
      <w:bookmarkEnd w:id="0"/>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住房保障支出（类）</w:t>
      </w:r>
      <w:r>
        <w:rPr>
          <w:rFonts w:hint="eastAsia" w:ascii="TimesNewRoman" w:hAnsi="TimesNewRoman" w:eastAsia="仿宋_GB2312" w:cs="TimesNewRoman"/>
          <w:kern w:val="0"/>
          <w:sz w:val="32"/>
          <w:szCs w:val="32"/>
          <w:lang w:val="en-US" w:eastAsia="zh-CN"/>
        </w:rPr>
        <w:t>城乡社区住宅</w:t>
      </w:r>
      <w:r>
        <w:rPr>
          <w:rFonts w:hint="eastAsia" w:ascii="TimesNewRoman" w:hAnsi="TimesNewRoman" w:eastAsia="仿宋_GB2312" w:cs="TimesNewRoman"/>
          <w:kern w:val="0"/>
          <w:sz w:val="32"/>
          <w:szCs w:val="32"/>
        </w:rPr>
        <w:t>（款）住房公积金</w:t>
      </w:r>
      <w:r>
        <w:rPr>
          <w:rFonts w:hint="eastAsia" w:ascii="TimesNewRoman" w:hAnsi="TimesNewRoman" w:eastAsia="仿宋_GB2312" w:cs="TimesNewRoman"/>
          <w:kern w:val="0"/>
          <w:sz w:val="32"/>
          <w:szCs w:val="32"/>
          <w:lang w:val="en-US" w:eastAsia="zh-CN"/>
        </w:rPr>
        <w:t>管理</w:t>
      </w:r>
      <w:r>
        <w:rPr>
          <w:rFonts w:hint="eastAsia" w:ascii="TimesNewRoman" w:hAnsi="TimesNewRoman" w:eastAsia="仿宋_GB2312" w:cs="TimesNewRoman"/>
          <w:kern w:val="0"/>
          <w:sz w:val="32"/>
          <w:szCs w:val="32"/>
        </w:rPr>
        <w:t>（项）2023年预算</w:t>
      </w:r>
      <w:r>
        <w:rPr>
          <w:rFonts w:hint="default" w:ascii="TimesNewRoman" w:hAnsi="TimesNewRoman" w:eastAsia="仿宋_GB2312" w:cs="TimesNewRoman"/>
          <w:kern w:val="0"/>
          <w:sz w:val="32"/>
          <w:szCs w:val="32"/>
          <w:lang w:val="en-US"/>
        </w:rPr>
        <w:t>2064.51</w:t>
      </w:r>
      <w:r>
        <w:rPr>
          <w:rFonts w:hint="eastAsia" w:ascii="TimesNewRoman" w:hAnsi="TimesNewRoman" w:eastAsia="仿宋_GB2312" w:cs="TimesNewRoman"/>
          <w:kern w:val="0"/>
          <w:sz w:val="32"/>
          <w:szCs w:val="32"/>
        </w:rPr>
        <w:t>万元，比2022年预算减少</w:t>
      </w:r>
      <w:r>
        <w:rPr>
          <w:rFonts w:hint="default" w:ascii="TimesNewRoman" w:hAnsi="TimesNewRoman" w:eastAsia="仿宋_GB2312" w:cs="TimesNewRoman"/>
          <w:kern w:val="0"/>
          <w:sz w:val="32"/>
          <w:szCs w:val="32"/>
          <w:lang w:val="en-US"/>
        </w:rPr>
        <w:t>10498.53</w:t>
      </w:r>
      <w:r>
        <w:rPr>
          <w:rFonts w:hint="eastAsia" w:ascii="TimesNewRoman" w:hAnsi="TimesNewRoman" w:eastAsia="仿宋_GB2312" w:cs="TimesNewRoman"/>
          <w:kern w:val="0"/>
          <w:sz w:val="32"/>
          <w:szCs w:val="32"/>
        </w:rPr>
        <w:t>万元，下降</w:t>
      </w:r>
      <w:r>
        <w:rPr>
          <w:rFonts w:hint="default" w:ascii="TimesNewRoman" w:hAnsi="TimesNewRoman" w:eastAsia="仿宋_GB2312" w:cs="TimesNewRoman"/>
          <w:kern w:val="0"/>
          <w:sz w:val="32"/>
          <w:szCs w:val="32"/>
          <w:lang w:val="en-US"/>
        </w:rPr>
        <w:t>83.57</w:t>
      </w:r>
      <w:r>
        <w:rPr>
          <w:rFonts w:hint="eastAsia" w:ascii="TimesNewRoman" w:hAnsi="TimesNewRoman" w:eastAsia="仿宋_GB2312" w:cs="TimesNewRoman"/>
          <w:kern w:val="0"/>
          <w:sz w:val="32"/>
          <w:szCs w:val="32"/>
        </w:rPr>
        <w:t>%，原因主要是</w:t>
      </w:r>
      <w:r>
        <w:rPr>
          <w:rFonts w:hint="eastAsia" w:ascii="仿宋_GB2312" w:eastAsia="仿宋_GB2312"/>
          <w:sz w:val="32"/>
          <w:szCs w:val="32"/>
          <w:highlight w:val="none"/>
          <w:lang w:val="en-US" w:eastAsia="zh-CN"/>
        </w:rPr>
        <w:t>按照中共淮北市委办公室 淮北市人民政府办公室关于印发《淮北矿业集团住房公积金管理分中心、淮北市住房公积金管理中心皖北煤电集团分中心移交接收实施方案》的通知要求，2022年市中心将完成对两个分中心的移交接收工作，移交接收工作完成后，2023年全市住房公积金实现统一核算，分中心实现的增值收益不再单独计算，从而减少了部门支出</w:t>
      </w:r>
      <w:r>
        <w:rPr>
          <w:rFonts w:hint="eastAsia" w:ascii="TimesNewRoman" w:hAnsi="TimesNewRoman" w:eastAsia="仿宋_GB2312" w:cs="TimesNewRoman"/>
          <w:kern w:val="0"/>
          <w:sz w:val="32"/>
          <w:szCs w:val="32"/>
        </w:rPr>
        <w:t>。</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六、关于2023年一般公共预算基本支出表的说明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2023年一般公共预算基本支出</w:t>
      </w:r>
      <w:r>
        <w:rPr>
          <w:rFonts w:hint="default" w:ascii="TimesNewRoman" w:hAnsi="TimesNewRoman" w:eastAsia="仿宋_GB2312" w:cs="TimesNewRoman"/>
          <w:kern w:val="0"/>
          <w:sz w:val="32"/>
          <w:szCs w:val="32"/>
          <w:lang w:val="en-US"/>
        </w:rPr>
        <w:t>559.22</w:t>
      </w:r>
      <w:r>
        <w:rPr>
          <w:rFonts w:hint="eastAsia" w:ascii="TimesNewRoman" w:hAnsi="TimesNewRoman" w:eastAsia="仿宋_GB2312" w:cs="TimesNewRoman"/>
          <w:kern w:val="0"/>
          <w:sz w:val="32"/>
          <w:szCs w:val="32"/>
        </w:rPr>
        <w:t>万元，其中，人员经费</w:t>
      </w:r>
      <w:r>
        <w:rPr>
          <w:rFonts w:hint="default" w:ascii="TimesNewRoman" w:hAnsi="TimesNewRoman" w:eastAsia="仿宋_GB2312" w:cs="TimesNewRoman"/>
          <w:kern w:val="0"/>
          <w:sz w:val="32"/>
          <w:szCs w:val="32"/>
          <w:lang w:val="en-US"/>
        </w:rPr>
        <w:t>521.72</w:t>
      </w:r>
      <w:r>
        <w:rPr>
          <w:rFonts w:hint="eastAsia" w:ascii="TimesNewRoman" w:hAnsi="TimesNewRoman" w:eastAsia="仿宋_GB2312" w:cs="TimesNewRoman"/>
          <w:kern w:val="0"/>
          <w:sz w:val="32"/>
          <w:szCs w:val="32"/>
        </w:rPr>
        <w:t>万元，公用经费</w:t>
      </w:r>
      <w:r>
        <w:rPr>
          <w:rFonts w:hint="default" w:ascii="TimesNewRoman" w:hAnsi="TimesNewRoman" w:eastAsia="仿宋_GB2312" w:cs="TimesNewRoman"/>
          <w:kern w:val="0"/>
          <w:sz w:val="32"/>
          <w:szCs w:val="32"/>
          <w:lang w:val="en-US"/>
        </w:rPr>
        <w:t>37.50</w:t>
      </w:r>
      <w:r>
        <w:rPr>
          <w:rFonts w:hint="eastAsia" w:ascii="TimesNewRoman" w:hAnsi="TimesNewRoman" w:eastAsia="仿宋_GB2312" w:cs="TimesNewRoman"/>
          <w:kern w:val="0"/>
          <w:sz w:val="32"/>
          <w:szCs w:val="32"/>
        </w:rPr>
        <w:t>万元。</w:t>
      </w:r>
    </w:p>
    <w:p>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default" w:ascii="TimesNewRoman" w:hAnsi="TimesNewRoman" w:eastAsia="仿宋_GB2312" w:cs="TimesNewRoman"/>
          <w:b/>
          <w:kern w:val="0"/>
          <w:sz w:val="32"/>
          <w:szCs w:val="32"/>
          <w:lang w:val="en-US"/>
        </w:rPr>
        <w:t>521.72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生活补助、医疗费补助、对其他个人和家庭的补助支出。</w:t>
      </w:r>
    </w:p>
    <w:p>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default" w:ascii="TimesNewRoman" w:hAnsi="TimesNewRoman" w:eastAsia="仿宋_GB2312" w:cs="TimesNewRoman"/>
          <w:b/>
          <w:kern w:val="0"/>
          <w:sz w:val="32"/>
          <w:szCs w:val="32"/>
          <w:lang w:val="en-US"/>
        </w:rPr>
        <w:t>37.50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主要包括：办公费、水费、电费、邮电费、物业管理费、差旅费、维修（护）费、培训费、公务接待费、公务用车运行维护费、其他交通费用、其他商品服务支出、办公设备购置等。</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七、关于2023年政府性基金预算支出表的说明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2023年没有政府性基金预算拨款收入，也没有使用政府性基金预算拨款安排的支出。</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八、关于2023年国有资本经营预算支出表的说明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2023年没有国有资本经营预算拨款收入，也没有使用国有资本经营预算拨款安排的支出。</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九、关于2023年项目支出表的说明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2023年预算共安排项目支出</w:t>
      </w:r>
      <w:r>
        <w:rPr>
          <w:rFonts w:hint="default" w:ascii="TimesNewRoman" w:hAnsi="TimesNewRoman" w:eastAsia="仿宋_GB2312" w:cs="TimesNewRoman"/>
          <w:kern w:val="0"/>
          <w:sz w:val="32"/>
          <w:szCs w:val="32"/>
          <w:lang w:val="en-US"/>
        </w:rPr>
        <w:t>1607.19</w:t>
      </w:r>
      <w:r>
        <w:rPr>
          <w:rFonts w:hint="eastAsia" w:ascii="TimesNewRoman" w:hAnsi="TimesNewRoman" w:eastAsia="仿宋_GB2312" w:cs="TimesNewRoman"/>
          <w:kern w:val="0"/>
          <w:sz w:val="32"/>
          <w:szCs w:val="32"/>
        </w:rPr>
        <w:t>万元，比2022年预算减少</w:t>
      </w:r>
      <w:r>
        <w:rPr>
          <w:rFonts w:hint="default" w:ascii="TimesNewRoman" w:hAnsi="TimesNewRoman" w:eastAsia="仿宋_GB2312" w:cs="TimesNewRoman"/>
          <w:kern w:val="0"/>
          <w:sz w:val="32"/>
          <w:szCs w:val="32"/>
          <w:lang w:val="en-US"/>
        </w:rPr>
        <w:t>10557.71</w:t>
      </w:r>
      <w:r>
        <w:rPr>
          <w:rFonts w:hint="eastAsia" w:ascii="TimesNewRoman" w:hAnsi="TimesNewRoman" w:eastAsia="仿宋_GB2312" w:cs="TimesNewRoman"/>
          <w:kern w:val="0"/>
          <w:sz w:val="32"/>
          <w:szCs w:val="32"/>
        </w:rPr>
        <w:t>万元，下降</w:t>
      </w:r>
      <w:r>
        <w:rPr>
          <w:rFonts w:hint="default" w:ascii="TimesNewRoman" w:hAnsi="TimesNewRoman" w:eastAsia="仿宋_GB2312" w:cs="TimesNewRoman"/>
          <w:kern w:val="0"/>
          <w:sz w:val="32"/>
          <w:szCs w:val="32"/>
          <w:lang w:val="en-US"/>
        </w:rPr>
        <w:t>86.79</w:t>
      </w:r>
      <w:r>
        <w:rPr>
          <w:rFonts w:hint="eastAsia" w:ascii="TimesNewRoman" w:hAnsi="TimesNewRoman" w:eastAsia="仿宋_GB2312" w:cs="TimesNewRoman"/>
          <w:kern w:val="0"/>
          <w:sz w:val="32"/>
          <w:szCs w:val="32"/>
        </w:rPr>
        <w:t>%，原因主要是</w:t>
      </w:r>
      <w:r>
        <w:rPr>
          <w:rFonts w:hint="eastAsia" w:ascii="仿宋_GB2312" w:eastAsia="仿宋_GB2312"/>
          <w:sz w:val="32"/>
          <w:szCs w:val="32"/>
          <w:highlight w:val="none"/>
          <w:lang w:val="en-US" w:eastAsia="zh-CN"/>
        </w:rPr>
        <w:t>按照中共淮北市委办公室 淮北市人民政府办公室关于印发《淮北矿业集团住房公积金管理分中心、淮北市住房公积金管理中心皖北煤电集团分中心移交接收实施方案》的通知要求，2022年市中心将完成对两个分中心的移交接收工作，移交接收工作完成后，2023年全市住房公积金实现统一核算，分中心实现的增值收益不再单独计算，从而减少了项目支出</w:t>
      </w:r>
      <w:r>
        <w:rPr>
          <w:rFonts w:hint="eastAsia" w:ascii="TimesNewRoman" w:hAnsi="TimesNewRoman" w:eastAsia="仿宋_GB2312" w:cs="TimesNewRoman"/>
          <w:kern w:val="0"/>
          <w:sz w:val="32"/>
          <w:szCs w:val="32"/>
        </w:rPr>
        <w:t>。主要包括：本年财政拨款安排</w:t>
      </w:r>
      <w:r>
        <w:rPr>
          <w:rFonts w:hint="default" w:ascii="TimesNewRoman" w:hAnsi="TimesNewRoman" w:eastAsia="仿宋_GB2312" w:cs="TimesNewRoman"/>
          <w:kern w:val="0"/>
          <w:sz w:val="32"/>
          <w:szCs w:val="32"/>
          <w:lang w:val="en-US"/>
        </w:rPr>
        <w:t>1607.19</w:t>
      </w:r>
      <w:r>
        <w:rPr>
          <w:rFonts w:hint="eastAsia" w:ascii="TimesNewRoman" w:hAnsi="TimesNewRoman" w:eastAsia="仿宋_GB2312" w:cs="TimesNewRoman"/>
          <w:kern w:val="0"/>
          <w:sz w:val="32"/>
          <w:szCs w:val="32"/>
        </w:rPr>
        <w:t>万元（其中，一般公共预算拨款安排</w:t>
      </w:r>
      <w:r>
        <w:rPr>
          <w:rFonts w:hint="default" w:ascii="TimesNewRoman" w:hAnsi="TimesNewRoman" w:eastAsia="仿宋_GB2312" w:cs="TimesNewRoman"/>
          <w:kern w:val="0"/>
          <w:sz w:val="32"/>
          <w:szCs w:val="32"/>
          <w:lang w:val="en-US"/>
        </w:rPr>
        <w:t>1607.19</w:t>
      </w:r>
      <w:r>
        <w:rPr>
          <w:rFonts w:hint="eastAsia" w:ascii="TimesNewRoman" w:hAnsi="TimesNewRoman" w:eastAsia="仿宋_GB2312" w:cs="TimesNewRoman"/>
          <w:kern w:val="0"/>
          <w:sz w:val="32"/>
          <w:szCs w:val="32"/>
        </w:rPr>
        <w:t>万元，政府性基金预算拨款安排</w:t>
      </w:r>
      <w:r>
        <w:rPr>
          <w:rFonts w:hint="default" w:ascii="TimesNewRoman" w:hAnsi="TimesNewRoman" w:eastAsia="仿宋_GB2312" w:cs="TimesNewRoman"/>
          <w:kern w:val="0"/>
          <w:sz w:val="32"/>
          <w:szCs w:val="32"/>
          <w:lang w:val="en-US"/>
        </w:rPr>
        <w:t>0</w:t>
      </w:r>
      <w:r>
        <w:rPr>
          <w:rFonts w:hint="eastAsia" w:ascii="TimesNewRoman" w:hAnsi="TimesNewRoman" w:eastAsia="仿宋_GB2312" w:cs="TimesNewRoman"/>
          <w:kern w:val="0"/>
          <w:sz w:val="32"/>
          <w:szCs w:val="32"/>
        </w:rPr>
        <w:t>万元）。</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十、关于2023年政府采购支出表的说明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2023年预算安排政府采购支出</w:t>
      </w:r>
      <w:r>
        <w:rPr>
          <w:rFonts w:hint="default" w:ascii="TimesNewRoman" w:hAnsi="TimesNewRoman" w:eastAsia="仿宋_GB2312" w:cs="TimesNewRoman"/>
          <w:kern w:val="0"/>
          <w:sz w:val="32"/>
          <w:szCs w:val="32"/>
          <w:lang w:val="en-US"/>
        </w:rPr>
        <w:t>327.95</w:t>
      </w:r>
      <w:r>
        <w:rPr>
          <w:rFonts w:hint="eastAsia" w:ascii="TimesNewRoman" w:hAnsi="TimesNewRoman" w:eastAsia="仿宋_GB2312" w:cs="TimesNewRoman"/>
          <w:kern w:val="0"/>
          <w:sz w:val="32"/>
          <w:szCs w:val="32"/>
        </w:rPr>
        <w:t>万元，比2022年预算增加</w:t>
      </w:r>
      <w:r>
        <w:rPr>
          <w:rFonts w:hint="default" w:ascii="TimesNewRoman" w:hAnsi="TimesNewRoman" w:eastAsia="仿宋_GB2312" w:cs="TimesNewRoman"/>
          <w:kern w:val="0"/>
          <w:sz w:val="32"/>
          <w:szCs w:val="32"/>
          <w:lang w:val="en-US"/>
        </w:rPr>
        <w:t>63.95</w:t>
      </w:r>
      <w:r>
        <w:rPr>
          <w:rFonts w:hint="eastAsia" w:ascii="TimesNewRoman" w:hAnsi="TimesNewRoman" w:eastAsia="仿宋_GB2312" w:cs="TimesNewRoman"/>
          <w:kern w:val="0"/>
          <w:sz w:val="32"/>
          <w:szCs w:val="32"/>
        </w:rPr>
        <w:t>万元，增长</w:t>
      </w:r>
      <w:r>
        <w:rPr>
          <w:rFonts w:hint="default" w:ascii="TimesNewRoman" w:hAnsi="TimesNewRoman" w:eastAsia="仿宋_GB2312" w:cs="TimesNewRoman"/>
          <w:kern w:val="0"/>
          <w:sz w:val="32"/>
          <w:szCs w:val="32"/>
          <w:lang w:val="en-US"/>
        </w:rPr>
        <w:t>24.22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新增项目采购</w:t>
      </w:r>
      <w:r>
        <w:rPr>
          <w:rFonts w:hint="eastAsia" w:ascii="TimesNewRoman" w:hAnsi="TimesNewRoman" w:eastAsia="仿宋_GB2312" w:cs="TimesNewRoman"/>
          <w:kern w:val="0"/>
          <w:sz w:val="32"/>
          <w:szCs w:val="32"/>
        </w:rPr>
        <w:t>。其中，一般公共预算安排</w:t>
      </w:r>
      <w:r>
        <w:rPr>
          <w:rFonts w:hint="default" w:ascii="TimesNewRoman" w:hAnsi="TimesNewRoman" w:eastAsia="仿宋_GB2312" w:cs="TimesNewRoman"/>
          <w:kern w:val="0"/>
          <w:sz w:val="32"/>
          <w:szCs w:val="32"/>
          <w:lang w:val="en-US"/>
        </w:rPr>
        <w:t>327.95</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rPr>
        <w:t>100</w:t>
      </w:r>
      <w:r>
        <w:rPr>
          <w:rFonts w:hint="eastAsia" w:ascii="TimesNewRoman" w:hAnsi="TimesNewRoman" w:eastAsia="仿宋_GB2312" w:cs="TimesNewRoman"/>
          <w:kern w:val="0"/>
          <w:sz w:val="32"/>
          <w:szCs w:val="32"/>
        </w:rPr>
        <w:t>%。</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十一、关于2023年政府购买服务支出表的说明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2023年没有安排政府购买服务支出。</w:t>
      </w:r>
    </w:p>
    <w:p>
      <w:pPr>
        <w:pStyle w:val="3"/>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hint="default" w:ascii="仿宋_GB2312" w:eastAsia="仿宋_GB2312"/>
          <w:sz w:val="32"/>
          <w:szCs w:val="32"/>
          <w:lang w:val="en-US"/>
        </w:rPr>
      </w:pPr>
      <w:r>
        <w:rPr>
          <w:rFonts w:hint="default" w:ascii="仿宋_GB2312" w:eastAsia="仿宋_GB2312"/>
          <w:sz w:val="32"/>
          <w:szCs w:val="32"/>
          <w:lang w:val="en-US" w:eastAsia="zh-CN"/>
        </w:rPr>
        <w:t>1.</w:t>
      </w:r>
      <w:r>
        <w:rPr>
          <w:rFonts w:hint="eastAsia" w:ascii="仿宋_GB2312" w:eastAsia="仿宋_GB2312"/>
          <w:sz w:val="32"/>
          <w:szCs w:val="32"/>
          <w:lang w:val="en-US" w:eastAsia="zh-CN"/>
        </w:rPr>
        <w:t>“</w:t>
      </w:r>
      <w:r>
        <w:rPr>
          <w:rFonts w:hint="eastAsia" w:ascii="仿宋_GB2312" w:eastAsia="仿宋_GB2312"/>
          <w:sz w:val="32"/>
          <w:szCs w:val="32"/>
          <w:lang w:eastAsia="zh-CN"/>
        </w:rPr>
        <w:t>公积金信息系统网络维护”</w:t>
      </w:r>
      <w:r>
        <w:rPr>
          <w:rFonts w:hint="eastAsia" w:ascii="仿宋_GB2312" w:eastAsia="仿宋_GB2312"/>
          <w:sz w:val="32"/>
          <w:szCs w:val="32"/>
          <w:lang w:val="en-US" w:eastAsia="zh-CN"/>
        </w:rPr>
        <w:t>项目</w:t>
      </w:r>
    </w:p>
    <w:p>
      <w:pPr>
        <w:ind w:firstLine="640" w:firstLineChars="200"/>
        <w:rPr>
          <w:rFonts w:hint="default" w:ascii="仿宋_GB2312" w:eastAsia="仿宋_GB2312"/>
          <w:sz w:val="32"/>
          <w:szCs w:val="32"/>
          <w:lang w:val="en-US"/>
        </w:rPr>
      </w:pPr>
      <w:r>
        <w:rPr>
          <w:rFonts w:hint="eastAsia" w:ascii="仿宋_GB2312" w:eastAsia="仿宋_GB2312"/>
          <w:color w:val="auto"/>
          <w:sz w:val="32"/>
          <w:szCs w:val="32"/>
          <w:lang w:eastAsia="zh-CN"/>
        </w:rPr>
        <w:t>（</w:t>
      </w:r>
      <w:r>
        <w:rPr>
          <w:rFonts w:hint="default" w:ascii="仿宋_GB2312" w:eastAsia="仿宋_GB2312"/>
          <w:color w:val="auto"/>
          <w:sz w:val="32"/>
          <w:szCs w:val="32"/>
          <w:lang w:val="en-US" w:eastAsia="zh-CN"/>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项目</w:t>
      </w:r>
      <w:r>
        <w:rPr>
          <w:rFonts w:hint="eastAsia" w:ascii="仿宋_GB2312" w:eastAsia="仿宋_GB2312"/>
          <w:color w:val="auto"/>
          <w:sz w:val="32"/>
          <w:szCs w:val="32"/>
          <w:lang w:val="en-US" w:eastAsia="zh-CN"/>
        </w:rPr>
        <w:t>概述</w:t>
      </w:r>
      <w:r>
        <w:rPr>
          <w:rFonts w:hint="eastAsia" w:ascii="仿宋_GB2312" w:eastAsia="仿宋_GB2312"/>
          <w:color w:val="auto"/>
          <w:sz w:val="32"/>
          <w:szCs w:val="32"/>
        </w:rPr>
        <w:t>：</w:t>
      </w:r>
      <w:r>
        <w:rPr>
          <w:rFonts w:hint="eastAsia" w:ascii="仿宋_GB2312" w:eastAsia="仿宋_GB2312"/>
          <w:sz w:val="32"/>
          <w:szCs w:val="32"/>
          <w:lang w:val="en-US" w:eastAsia="zh-CN"/>
        </w:rPr>
        <w:t>为更好地保障中心系统运行，需要对中心信息系统进行维护及对线路进行租用，包括：综合服务平台运维、互联网+政务服务运维、机房硬件维护、安全软件维护、设备日常维护、等保测评等。</w:t>
      </w:r>
    </w:p>
    <w:p>
      <w:pPr>
        <w:pStyle w:val="6"/>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b/>
          <w:bCs/>
          <w:color w:val="000000"/>
          <w:sz w:val="32"/>
          <w:szCs w:val="32"/>
          <w:lang w:val="en-US" w:eastAsia="zh-CN"/>
        </w:rPr>
      </w:pPr>
      <w:r>
        <w:rPr>
          <w:rFonts w:hint="eastAsia" w:ascii="仿宋_GB2312" w:eastAsia="仿宋_GB2312"/>
          <w:sz w:val="32"/>
          <w:szCs w:val="32"/>
          <w:lang w:val="en-US" w:eastAsia="zh-CN"/>
        </w:rPr>
        <w:t>（</w:t>
      </w:r>
      <w:r>
        <w:rPr>
          <w:rFonts w:hint="default" w:ascii="仿宋_GB2312" w:eastAsia="仿宋_GB2312"/>
          <w:sz w:val="32"/>
          <w:szCs w:val="32"/>
          <w:lang w:val="en-US" w:eastAsia="zh-CN"/>
        </w:rPr>
        <w:t>2</w:t>
      </w:r>
      <w:r>
        <w:rPr>
          <w:rFonts w:hint="eastAsia" w:ascii="仿宋_GB2312" w:eastAsia="仿宋_GB2312"/>
          <w:sz w:val="32"/>
          <w:szCs w:val="32"/>
          <w:lang w:val="en-US" w:eastAsia="zh-CN"/>
        </w:rPr>
        <w:t>）立项</w:t>
      </w:r>
      <w:r>
        <w:rPr>
          <w:rFonts w:hint="eastAsia" w:ascii="仿宋_GB2312" w:eastAsia="仿宋_GB2312"/>
          <w:sz w:val="32"/>
          <w:szCs w:val="32"/>
        </w:rPr>
        <w:t>依据：</w:t>
      </w:r>
      <w:r>
        <w:rPr>
          <w:rFonts w:hint="default" w:ascii="Times New Roman" w:hAnsi="Times New Roman" w:eastAsia="仿宋_GB2312" w:cs="Times New Roman"/>
          <w:b w:val="0"/>
          <w:bCs/>
          <w:color w:val="000000"/>
          <w:sz w:val="32"/>
          <w:szCs w:val="32"/>
          <w:lang w:val="en-US" w:eastAsia="zh-CN"/>
        </w:rPr>
        <w:t>《住房公积金信息化建设导则》、《住房公积金综合服务平台建设导则》、《关于印发住房公积金综合服务平台验收工作流程和评分标准的通知》、《安徽省人民政府办公厅关于做好地市政务服务（便民服务）事项接入省政务服务网相关准备工作的通知》、《安徽省数据资源管理局关于印发安徽省推进“慧办事、慧审批、慧监管”打造智慧政务新模式实施方案的通知》、《网络安全法》、《安徽省住房和城乡建设厅政务服务便民热线归并优化工作方案》、《关于印发12319城市管理服务热线、12329住房公积金服务热线优化归并实施方案的通知》等。</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w:t>
      </w:r>
      <w:r>
        <w:rPr>
          <w:rFonts w:hint="default" w:ascii="仿宋_GB2312" w:eastAsia="仿宋_GB2312"/>
          <w:sz w:val="32"/>
          <w:szCs w:val="32"/>
          <w:lang w:val="en-US" w:eastAsia="zh-CN"/>
        </w:rPr>
        <w:t>3</w:t>
      </w:r>
      <w:r>
        <w:rPr>
          <w:rFonts w:hint="eastAsia" w:ascii="仿宋_GB2312" w:eastAsia="仿宋_GB2312"/>
          <w:sz w:val="32"/>
          <w:szCs w:val="32"/>
          <w:lang w:val="en-US" w:eastAsia="zh-CN"/>
        </w:rPr>
        <w:t>）实施主体：淮北市住房公积金管理中心</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w:t>
      </w:r>
      <w:r>
        <w:rPr>
          <w:rFonts w:hint="default" w:ascii="仿宋_GB2312" w:eastAsia="仿宋_GB2312"/>
          <w:sz w:val="32"/>
          <w:szCs w:val="32"/>
          <w:lang w:val="en-US" w:eastAsia="zh-CN"/>
        </w:rPr>
        <w:t>4</w:t>
      </w:r>
      <w:r>
        <w:rPr>
          <w:rFonts w:hint="eastAsia" w:ascii="仿宋_GB2312" w:eastAsia="仿宋_GB2312"/>
          <w:sz w:val="32"/>
          <w:szCs w:val="32"/>
          <w:lang w:val="en-US" w:eastAsia="zh-CN"/>
        </w:rPr>
        <w:t>）起止时间</w:t>
      </w:r>
      <w:r>
        <w:rPr>
          <w:rFonts w:hint="eastAsia" w:ascii="仿宋_GB2312" w:eastAsia="仿宋_GB2312"/>
          <w:sz w:val="32"/>
          <w:szCs w:val="32"/>
        </w:rPr>
        <w:t>：</w:t>
      </w:r>
      <w:r>
        <w:rPr>
          <w:rFonts w:hint="eastAsia" w:ascii="仿宋_GB2312" w:eastAsia="仿宋_GB2312"/>
          <w:sz w:val="32"/>
          <w:szCs w:val="32"/>
          <w:lang w:val="en-US" w:eastAsia="zh-CN"/>
        </w:rPr>
        <w:t>202</w:t>
      </w:r>
      <w:r>
        <w:rPr>
          <w:rFonts w:hint="default" w:ascii="仿宋_GB2312" w:eastAsia="仿宋_GB2312"/>
          <w:sz w:val="32"/>
          <w:szCs w:val="32"/>
          <w:lang w:val="en-US" w:eastAsia="zh-CN"/>
        </w:rPr>
        <w:t>3</w:t>
      </w:r>
      <w:r>
        <w:rPr>
          <w:rFonts w:hint="eastAsia" w:ascii="仿宋_GB2312" w:eastAsia="仿宋_GB2312"/>
          <w:sz w:val="32"/>
          <w:szCs w:val="32"/>
          <w:lang w:val="en-US" w:eastAsia="zh-CN"/>
        </w:rPr>
        <w:t>年1-12月。</w:t>
      </w:r>
    </w:p>
    <w:p>
      <w:pPr>
        <w:pStyle w:val="3"/>
        <w:pageBreakBefore w:val="0"/>
        <w:numPr>
          <w:ilvl w:val="0"/>
          <w:numId w:val="0"/>
        </w:numPr>
        <w:kinsoku/>
        <w:wordWrap/>
        <w:topLinePunct w:val="0"/>
        <w:autoSpaceDE/>
        <w:autoSpaceDN/>
        <w:bidi w:val="0"/>
        <w:spacing w:before="0" w:beforeAutospacing="0" w:after="0" w:afterAutospacing="0" w:line="570" w:lineRule="exact"/>
        <w:ind w:right="105" w:rightChars="50" w:firstLine="640" w:firstLineChars="200"/>
        <w:jc w:val="both"/>
        <w:textAlignment w:val="baseline"/>
        <w:rPr>
          <w:rFonts w:hint="default" w:ascii="Times New Roman" w:hAnsi="Times New Roman" w:eastAsia="楷体_GB2312" w:cs="Times New Roman"/>
          <w:b w:val="0"/>
          <w:bCs/>
          <w:color w:val="000000"/>
          <w:sz w:val="32"/>
          <w:szCs w:val="32"/>
          <w:lang w:val="en-US" w:eastAsia="zh-CN"/>
        </w:rPr>
      </w:pPr>
      <w:r>
        <w:rPr>
          <w:rFonts w:hint="eastAsia"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5</w:t>
      </w:r>
      <w:r>
        <w:rPr>
          <w:rFonts w:hint="eastAsia" w:ascii="Times New Roman" w:hAnsi="Times New Roman" w:eastAsia="仿宋_GB2312" w:cs="Times New Roman"/>
          <w:b w:val="0"/>
          <w:bCs/>
          <w:color w:val="000000"/>
          <w:sz w:val="32"/>
          <w:szCs w:val="32"/>
          <w:lang w:val="en-US" w:eastAsia="zh-CN"/>
        </w:rPr>
        <w:t>）项目内容：</w:t>
      </w:r>
      <w:r>
        <w:rPr>
          <w:rFonts w:hint="default" w:ascii="Times New Roman" w:hAnsi="Times New Roman" w:eastAsia="仿宋_GB2312" w:cs="Times New Roman"/>
          <w:b w:val="0"/>
          <w:bCs/>
          <w:color w:val="000000"/>
          <w:sz w:val="32"/>
          <w:szCs w:val="32"/>
          <w:lang w:val="en-US" w:eastAsia="zh-CN"/>
        </w:rPr>
        <w:t>综合服务平台运维，保障综合管理系统及各电子服务渠道的正常运行。互联网+政务服务运维，保障“长三角一网通办”、“安徽政务服务网”业务及数据共享对接畅通。机房硬件和安全软件维护，负责服务器、网络及安全设备硬件维保，以及安全软件授权、系统、软件特征库升级。等保测评，等保测评费用（内网2级、外网3级）。日常维护，日常办公电脑及周边维护、维修。还有各类线路租用费用（通过省住建厅信息中心连接到省人行的征信线路、核心系统及综合服务平台数据备份、50M互联网线路、钉钉服务维护、省12329公积金短信线路、市中心到濉溪县管理部50M数字电路、12329线路及语音中继线路、12329短信上行使用等）。</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default" w:ascii="仿宋_GB2312" w:eastAsia="仿宋_GB2312"/>
          <w:sz w:val="32"/>
          <w:szCs w:val="32"/>
          <w:lang w:val="en-US" w:eastAsia="zh-CN"/>
        </w:rPr>
        <w:t>6</w:t>
      </w:r>
      <w:r>
        <w:rPr>
          <w:rFonts w:hint="eastAsia" w:ascii="仿宋_GB2312" w:eastAsia="仿宋_GB2312"/>
          <w:sz w:val="32"/>
          <w:szCs w:val="32"/>
          <w:lang w:val="en-US" w:eastAsia="zh-CN"/>
        </w:rPr>
        <w:t>）年度预算安排</w:t>
      </w:r>
      <w:r>
        <w:rPr>
          <w:rFonts w:hint="default" w:ascii="仿宋_GB2312" w:eastAsia="仿宋_GB2312"/>
          <w:sz w:val="32"/>
          <w:szCs w:val="32"/>
          <w:lang w:val="en-US" w:eastAsia="zh-CN"/>
        </w:rPr>
        <w:t>81.97</w:t>
      </w:r>
      <w:r>
        <w:rPr>
          <w:rFonts w:hint="eastAsia" w:ascii="仿宋_GB2312" w:eastAsia="仿宋_GB2312"/>
          <w:sz w:val="32"/>
          <w:szCs w:val="32"/>
          <w:lang w:val="en-US" w:eastAsia="zh-CN"/>
        </w:rPr>
        <w:t>万元。</w:t>
      </w:r>
    </w:p>
    <w:p>
      <w:pPr>
        <w:pStyle w:val="2"/>
        <w:rPr>
          <w:rFonts w:hint="eastAsia" w:ascii="仿宋_GB2312"/>
          <w:sz w:val="32"/>
          <w:szCs w:val="32"/>
          <w:highlight w:val="none"/>
          <w:lang w:val="en-US" w:eastAsia="zh-CN"/>
        </w:rPr>
      </w:pPr>
      <w:r>
        <w:rPr>
          <w:rFonts w:hint="eastAsia" w:ascii="仿宋_GB2312"/>
          <w:sz w:val="32"/>
          <w:szCs w:val="32"/>
          <w:highlight w:val="none"/>
          <w:lang w:val="en-US" w:eastAsia="zh-CN"/>
        </w:rPr>
        <w:t>（</w:t>
      </w:r>
      <w:r>
        <w:rPr>
          <w:rFonts w:hint="default" w:ascii="仿宋_GB2312"/>
          <w:sz w:val="32"/>
          <w:szCs w:val="32"/>
          <w:highlight w:val="none"/>
          <w:lang w:val="en-US" w:eastAsia="zh-CN"/>
        </w:rPr>
        <w:t>7</w:t>
      </w:r>
      <w:r>
        <w:rPr>
          <w:rFonts w:hint="eastAsia" w:ascii="仿宋_GB2312"/>
          <w:sz w:val="32"/>
          <w:szCs w:val="32"/>
          <w:highlight w:val="none"/>
          <w:lang w:val="en-US" w:eastAsia="zh-CN"/>
        </w:rPr>
        <w:t>）绩效目标。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679"/>
        <w:gridCol w:w="86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020" w:type="dxa"/>
            <w:gridSpan w:val="8"/>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20" w:type="dxa"/>
            <w:gridSpan w:val="8"/>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5"/>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公积金信息系统网络维护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5028" w:type="dxa"/>
            <w:gridSpan w:val="3"/>
            <w:tcBorders>
              <w:tl2br w:val="nil"/>
              <w:tr2bl w:val="nil"/>
            </w:tcBorders>
            <w:vAlign w:val="center"/>
          </w:tcPr>
          <w:p>
            <w:pPr>
              <w:jc w:val="center"/>
              <w:rPr>
                <w:rFonts w:hint="default" w:eastAsia="宋体"/>
                <w:lang w:val="en-US" w:eastAsia="zh-CN"/>
              </w:rPr>
            </w:pPr>
            <w:r>
              <w:rPr>
                <w:rFonts w:hint="eastAsia"/>
                <w:lang w:val="en-US" w:eastAsia="zh-CN"/>
              </w:rPr>
              <w:t>淮北市住房公积金管理中心</w:t>
            </w:r>
          </w:p>
        </w:tc>
        <w:tc>
          <w:tcPr>
            <w:tcW w:w="867"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1682"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淮北市住房公积金管理中心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5028" w:type="dxa"/>
            <w:gridSpan w:val="3"/>
            <w:tcBorders>
              <w:tl2br w:val="nil"/>
              <w:tr2bl w:val="nil"/>
            </w:tcBorders>
            <w:vAlign w:val="center"/>
          </w:tcPr>
          <w:p>
            <w:pPr>
              <w:jc w:val="center"/>
              <w:rPr>
                <w:rFonts w:hint="eastAsia" w:eastAsia="宋体"/>
                <w:lang w:val="en-US" w:eastAsia="zh-CN"/>
              </w:rPr>
            </w:pPr>
            <w:r>
              <w:rPr>
                <w:rFonts w:hint="eastAsia"/>
                <w:lang w:val="en-US" w:eastAsia="zh-CN"/>
              </w:rPr>
              <w:t>单位申报</w:t>
            </w:r>
          </w:p>
        </w:tc>
        <w:tc>
          <w:tcPr>
            <w:tcW w:w="867"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1682"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常年项目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5028"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2549" w:type="dxa"/>
            <w:gridSpan w:val="2"/>
            <w:tcBorders>
              <w:tl2br w:val="nil"/>
              <w:tr2bl w:val="nil"/>
            </w:tcBorders>
            <w:vAlign w:val="center"/>
          </w:tcPr>
          <w:p>
            <w:pPr>
              <w:keepNext w:val="0"/>
              <w:keepLines w:val="0"/>
              <w:widowControl/>
              <w:suppressLineNumbers w:val="0"/>
              <w:jc w:val="righ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81.97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vAlign w:val="center"/>
          </w:tcPr>
          <w:p>
            <w:pPr>
              <w:jc w:val="center"/>
              <w:rPr>
                <w:rFonts w:ascii="宋体" w:cs="宋体"/>
                <w:sz w:val="20"/>
              </w:rPr>
            </w:pPr>
          </w:p>
        </w:tc>
        <w:tc>
          <w:tcPr>
            <w:tcW w:w="5028"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549" w:type="dxa"/>
            <w:gridSpan w:val="2"/>
            <w:tcBorders>
              <w:tl2br w:val="nil"/>
              <w:tr2bl w:val="nil"/>
            </w:tcBorders>
            <w:vAlign w:val="center"/>
          </w:tcPr>
          <w:p>
            <w:pPr>
              <w:keepNext w:val="0"/>
              <w:keepLines w:val="0"/>
              <w:widowControl/>
              <w:suppressLineNumbers w:val="0"/>
              <w:jc w:val="righ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81.97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vAlign w:val="center"/>
          </w:tcPr>
          <w:p>
            <w:pPr>
              <w:jc w:val="center"/>
              <w:rPr>
                <w:rFonts w:ascii="宋体" w:cs="宋体"/>
                <w:sz w:val="20"/>
              </w:rPr>
            </w:pPr>
          </w:p>
        </w:tc>
        <w:tc>
          <w:tcPr>
            <w:tcW w:w="5028"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2549"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vAlign w:val="center"/>
          </w:tcPr>
          <w:p>
            <w:pPr>
              <w:jc w:val="center"/>
              <w:rPr>
                <w:rFonts w:ascii="宋体" w:cs="宋体"/>
                <w:sz w:val="20"/>
              </w:rPr>
            </w:pPr>
          </w:p>
        </w:tc>
        <w:tc>
          <w:tcPr>
            <w:tcW w:w="5028"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549"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38"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7"/>
            <w:tcBorders>
              <w:tl2br w:val="nil"/>
              <w:tr2bl w:val="nil"/>
            </w:tcBorders>
            <w:vAlign w:val="center"/>
          </w:tcPr>
          <w:p>
            <w:pPr>
              <w:jc w:val="left"/>
              <w:rPr>
                <w:rFonts w:ascii="宋体" w:cs="宋体"/>
                <w:sz w:val="20"/>
              </w:rPr>
            </w:pPr>
            <w:r>
              <w:rPr>
                <w:rFonts w:hint="eastAsia" w:ascii="宋体" w:cs="宋体"/>
                <w:sz w:val="20"/>
              </w:rPr>
              <w:t>为更好地保障中心系统运行，需要对中心信息系统进行维护及对线路进行租用，包括：综合服务平台运维、互联网+政务服务运维、机房硬件维护、安全软件维护、设备日常维护、等保测评等。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38"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等保测评及安全运维服务成果</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日常维护信息系统数量</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机房运维服务达标率</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硬件兼容性</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系统运行事故发生频率</w:t>
            </w:r>
          </w:p>
        </w:tc>
        <w:tc>
          <w:tcPr>
            <w:tcW w:w="4228" w:type="dxa"/>
            <w:gridSpan w:val="3"/>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系统功能达标率</w:t>
            </w:r>
          </w:p>
        </w:tc>
        <w:tc>
          <w:tcPr>
            <w:tcW w:w="4228" w:type="dxa"/>
            <w:gridSpan w:val="3"/>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信息系统日常维护合格率</w:t>
            </w:r>
          </w:p>
        </w:tc>
        <w:tc>
          <w:tcPr>
            <w:tcW w:w="4228" w:type="dxa"/>
            <w:gridSpan w:val="3"/>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机房运维周期</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每季度至少一次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信息系统故障修复响应时间</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ascii="汉仪中秀体简" w:hAnsi="汉仪中秀体简" w:eastAsia="汉仪中秀体简" w:cs="汉仪中秀体简"/>
                <w:color w:val="000000"/>
                <w:kern w:val="0"/>
                <w:sz w:val="20"/>
                <w:szCs w:val="20"/>
              </w:rPr>
            </w:pPr>
            <w:r>
              <w:rPr>
                <w:rFonts w:hint="eastAsia" w:ascii="宋体" w:hAnsi="宋体" w:eastAsia="宋体" w:cs="宋体"/>
                <w:i w:val="0"/>
                <w:iCs w:val="0"/>
                <w:color w:val="000000"/>
                <w:kern w:val="0"/>
                <w:sz w:val="20"/>
                <w:szCs w:val="20"/>
                <w:u w:val="none"/>
                <w:lang w:val="en-US" w:eastAsia="zh-CN" w:bidi="ar"/>
              </w:rPr>
              <w:t>信息系统日常维护周期</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ascii="汉仪中秀体简" w:hAnsi="汉仪中秀体简" w:eastAsia="汉仪中秀体简" w:cs="汉仪中秀体简"/>
                <w:color w:val="000000"/>
                <w:kern w:val="0"/>
                <w:sz w:val="20"/>
                <w:szCs w:val="20"/>
              </w:rPr>
            </w:pPr>
            <w:r>
              <w:rPr>
                <w:rFonts w:hint="eastAsia" w:ascii="宋体" w:hAnsi="宋体" w:eastAsia="宋体" w:cs="宋体"/>
                <w:i w:val="0"/>
                <w:iCs w:val="0"/>
                <w:color w:val="000000"/>
                <w:kern w:val="0"/>
                <w:sz w:val="20"/>
                <w:szCs w:val="20"/>
                <w:u w:val="none"/>
                <w:lang w:val="en-US" w:eastAsia="zh-CN" w:bidi="ar"/>
              </w:rPr>
              <w:t>是否按时保质保量完成</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lang w:val="en-US"/>
              </w:rPr>
              <w:t xml:space="preserve">    </w:t>
            </w:r>
            <w:r>
              <w:rPr>
                <w:rFonts w:hint="eastAsia" w:ascii="宋体" w:hAnsi="宋体" w:eastAsia="宋体" w:cs="宋体"/>
                <w:color w:val="000000"/>
                <w:kern w:val="0"/>
                <w:sz w:val="20"/>
                <w:szCs w:val="20"/>
              </w:rPr>
              <w:t>成本指标</w:t>
            </w:r>
          </w:p>
          <w:p>
            <w:pPr>
              <w:widowControl/>
              <w:jc w:val="center"/>
              <w:textAlignment w:val="center"/>
              <w:rPr>
                <w:rFonts w:ascii="宋体" w:cs="宋体"/>
                <w:sz w:val="20"/>
              </w:rPr>
            </w:pPr>
          </w:p>
        </w:tc>
        <w:tc>
          <w:tcPr>
            <w:tcW w:w="2872" w:type="dxa"/>
            <w:tcBorders>
              <w:tl2br w:val="nil"/>
              <w:tr2bl w:val="nil"/>
            </w:tcBorders>
            <w:vAlign w:val="center"/>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系统运行维护成本</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81.97万元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对避免重复投入运维费用的改善程度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对延长设备生命周期、降低故障率的影响程度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对促进政务信息公开情况的影响程度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对提高公共服务能力和效率的改善或提升程度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ascii="汉仪中秀体简" w:hAnsi="汉仪中秀体简" w:eastAsia="汉仪中秀体简" w:cs="汉仪中秀体简"/>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对信息系统可用性及稳定性的改善或提升程度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0"/>
                <w:szCs w:val="20"/>
                <w:u w:val="none"/>
                <w:lang w:val="en-US" w:eastAsia="zh-CN" w:bidi="ar"/>
              </w:rPr>
              <w:t>对减少硬件能耗支出，实现节能减排的影响程度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对保障机构持续稳定运转、持续发挥职能的改善或提升程度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widowControl/>
              <w:spacing w:line="200" w:lineRule="exact"/>
              <w:jc w:val="center"/>
              <w:rPr>
                <w:rFonts w:hint="eastAsia" w:ascii="宋体" w:hAnsi="宋体" w:eastAsia="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对信息系统后续可用性及稳定性的持续影响程度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hint="eastAsia" w:ascii="宋体" w:hAnsi="宋体" w:eastAsia="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对提高公共服务能力和效率的持续影响程度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hint="eastAsia" w:ascii="宋体" w:hAnsi="宋体" w:eastAsia="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信息化系统建设为提高政府公信力提供长期保障</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hint="eastAsia" w:ascii="宋体" w:hAnsi="宋体" w:eastAsia="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对单位履职、促进事业发展的持续影响程度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服务对象满意度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hint="eastAsia" w:ascii="宋体" w:hAnsi="宋体" w:eastAsia="宋体" w:cs="宋体"/>
                <w:sz w:val="20"/>
              </w:rPr>
            </w:pPr>
          </w:p>
        </w:tc>
        <w:tc>
          <w:tcPr>
            <w:tcW w:w="759" w:type="dxa"/>
            <w:gridSpan w:val="2"/>
            <w:vMerge w:val="continue"/>
            <w:tcBorders>
              <w:tl2br w:val="nil"/>
              <w:tr2bl w:val="nil"/>
            </w:tcBorders>
            <w:vAlign w:val="center"/>
          </w:tcPr>
          <w:p>
            <w:pPr>
              <w:jc w:val="center"/>
              <w:rPr>
                <w:rFonts w:hint="eastAsia" w:ascii="宋体" w:hAnsi="宋体" w:eastAsia="宋体" w:cs="宋体"/>
                <w:sz w:val="20"/>
              </w:rPr>
            </w:pPr>
          </w:p>
        </w:tc>
        <w:tc>
          <w:tcPr>
            <w:tcW w:w="2872"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公众满意度</w:t>
            </w:r>
          </w:p>
        </w:tc>
        <w:tc>
          <w:tcPr>
            <w:tcW w:w="4228" w:type="dxa"/>
            <w:gridSpan w:val="3"/>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≥90%</w:t>
            </w:r>
          </w:p>
        </w:tc>
      </w:tr>
    </w:tbl>
    <w:p>
      <w:pPr>
        <w:rPr>
          <w:rFonts w:hint="eastAsia"/>
          <w:lang w:val="en-US" w:eastAsia="zh-CN"/>
        </w:rPr>
      </w:pPr>
    </w:p>
    <w:p>
      <w:pPr>
        <w:rPr>
          <w:rFonts w:hint="eastAsia"/>
          <w:lang w:val="en-US" w:eastAsia="zh-CN"/>
        </w:rPr>
      </w:pPr>
    </w:p>
    <w:p>
      <w:pPr>
        <w:rPr>
          <w:rFonts w:hint="default"/>
          <w:lang w:val="en-US" w:eastAsia="zh-CN"/>
        </w:rPr>
      </w:pPr>
    </w:p>
    <w:p>
      <w:pPr>
        <w:ind w:firstLine="640" w:firstLineChars="200"/>
        <w:rPr>
          <w:rFonts w:hint="eastAsia" w:ascii="TimesNewRoman" w:hAnsi="TimesNewRoman" w:eastAsia="仿宋_GB2312" w:cs="TimesNewRoman"/>
          <w:kern w:val="0"/>
          <w:sz w:val="32"/>
          <w:szCs w:val="32"/>
        </w:rPr>
      </w:pPr>
      <w:r>
        <w:rPr>
          <w:rFonts w:hint="default" w:ascii="仿宋_GB2312" w:eastAsia="仿宋_GB2312"/>
          <w:sz w:val="32"/>
          <w:szCs w:val="32"/>
          <w:lang w:val="en-US"/>
        </w:rPr>
        <w:t>2.</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highlight w:val="none"/>
          <w:lang w:val="en-US" w:eastAsia="zh-CN"/>
        </w:rPr>
        <w:t>公积金</w:t>
      </w:r>
      <w:r>
        <w:rPr>
          <w:rFonts w:hint="eastAsia" w:ascii="仿宋_GB2312" w:eastAsia="仿宋_GB2312"/>
          <w:sz w:val="32"/>
          <w:szCs w:val="32"/>
          <w:highlight w:val="none"/>
        </w:rPr>
        <w:t>系统容灾备份</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rPr>
        <w:t>项目。</w:t>
      </w:r>
    </w:p>
    <w:p>
      <w:pPr>
        <w:pageBreakBefore w:val="0"/>
        <w:kinsoku/>
        <w:wordWrap/>
        <w:overflowPunct w:val="0"/>
        <w:topLinePunct w:val="0"/>
        <w:autoSpaceDE/>
        <w:autoSpaceDN/>
        <w:bidi w:val="0"/>
        <w:spacing w:line="570" w:lineRule="exact"/>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1）项目概述。通过数据同步建立灾备中心可以实现对业务关键数据的容灾及保护，在不影响生产数据库性能的同时为生产数据库在异地建立一份准实时镜像，以保证当生产系统出现故障或者发生灾难时，系统发出短信或者邮件等报警后，只需更改IP地址就能实现系统的切换，保障业务的连续性，非核心业务系统出现灾难或者故障时，能即时从异地灾备中心拿最近一个备份副本进行数据恢复，保障数据安全完整。</w:t>
      </w:r>
    </w:p>
    <w:p>
      <w:pPr>
        <w:pageBreakBefore w:val="0"/>
        <w:kinsoku/>
        <w:wordWrap/>
        <w:overflowPunct w:val="0"/>
        <w:topLinePunct w:val="0"/>
        <w:autoSpaceDE/>
        <w:autoSpaceDN/>
        <w:bidi w:val="0"/>
        <w:spacing w:line="570" w:lineRule="exact"/>
        <w:ind w:firstLine="640" w:firstLineChars="200"/>
        <w:rPr>
          <w:rFonts w:hint="default" w:ascii="Times New Roman" w:hAnsi="Times New Roman" w:eastAsia="仿宋_GB2312" w:cs="Times New Roman"/>
          <w:bCs/>
          <w:color w:val="000000"/>
          <w:sz w:val="32"/>
          <w:szCs w:val="32"/>
        </w:rPr>
      </w:pPr>
      <w:r>
        <w:rPr>
          <w:rFonts w:hint="eastAsia" w:ascii="TimesNewRoman" w:hAnsi="TimesNewRoman" w:eastAsia="仿宋_GB2312" w:cs="TimesNewRoman"/>
          <w:kern w:val="0"/>
          <w:sz w:val="32"/>
          <w:szCs w:val="32"/>
        </w:rPr>
        <w:t>（2）立项依据。</w:t>
      </w:r>
      <w:r>
        <w:rPr>
          <w:rFonts w:hint="default" w:ascii="Times New Roman" w:hAnsi="Times New Roman" w:eastAsia="仿宋_GB2312" w:cs="Times New Roman"/>
          <w:bCs/>
          <w:color w:val="000000"/>
          <w:sz w:val="32"/>
          <w:szCs w:val="32"/>
        </w:rPr>
        <w:t>《住房城乡建设部关于印发住房公积金信息化建设导则的通知》（建金〔2016〕124号）、《安徽省住房城乡建设厅关于进一步规范全省住房公积金数据异地备份的通知》（建金函〔2013〕1425号）等文件精神要求。</w:t>
      </w:r>
    </w:p>
    <w:p>
      <w:pPr>
        <w:ind w:firstLine="640" w:firstLineChars="200"/>
        <w:rPr>
          <w:rFonts w:hint="default" w:ascii="仿宋_GB2312" w:eastAsia="仿宋_GB2312"/>
          <w:sz w:val="32"/>
          <w:szCs w:val="32"/>
          <w:lang w:val="en-US" w:eastAsia="zh-CN"/>
        </w:rPr>
      </w:pPr>
      <w:r>
        <w:rPr>
          <w:rFonts w:hint="eastAsia" w:ascii="TimesNewRoman" w:hAnsi="TimesNewRoman" w:eastAsia="仿宋_GB2312" w:cs="TimesNewRoman"/>
          <w:kern w:val="0"/>
          <w:sz w:val="32"/>
          <w:szCs w:val="32"/>
        </w:rPr>
        <w:t>（3）实施主体。</w:t>
      </w:r>
      <w:r>
        <w:rPr>
          <w:rFonts w:hint="eastAsia" w:ascii="仿宋_GB2312" w:eastAsia="仿宋_GB2312"/>
          <w:sz w:val="32"/>
          <w:szCs w:val="32"/>
          <w:lang w:val="en-US" w:eastAsia="zh-CN"/>
        </w:rPr>
        <w:t>淮北市住房公积金管理中心</w:t>
      </w:r>
    </w:p>
    <w:p>
      <w:pPr>
        <w:ind w:firstLine="640" w:firstLineChars="200"/>
        <w:rPr>
          <w:rFonts w:hint="default" w:ascii="仿宋_GB2312" w:eastAsia="仿宋_GB2312"/>
          <w:sz w:val="32"/>
          <w:szCs w:val="32"/>
          <w:lang w:val="en-US" w:eastAsia="zh-CN"/>
        </w:rPr>
      </w:pPr>
      <w:r>
        <w:rPr>
          <w:rFonts w:hint="eastAsia" w:ascii="TimesNewRoman" w:hAnsi="TimesNewRoman" w:eastAsia="仿宋_GB2312" w:cs="TimesNewRoman"/>
          <w:kern w:val="0"/>
          <w:sz w:val="32"/>
          <w:szCs w:val="32"/>
        </w:rPr>
        <w:t>（4）起止时间。</w:t>
      </w:r>
      <w:r>
        <w:rPr>
          <w:rFonts w:hint="eastAsia" w:ascii="仿宋_GB2312" w:eastAsia="仿宋_GB2312"/>
          <w:sz w:val="32"/>
          <w:szCs w:val="32"/>
          <w:lang w:val="en-US" w:eastAsia="zh-CN"/>
        </w:rPr>
        <w:t>202</w:t>
      </w:r>
      <w:r>
        <w:rPr>
          <w:rFonts w:hint="default" w:ascii="仿宋_GB2312" w:eastAsia="仿宋_GB2312"/>
          <w:sz w:val="32"/>
          <w:szCs w:val="32"/>
          <w:lang w:val="en-US" w:eastAsia="zh-CN"/>
        </w:rPr>
        <w:t>3</w:t>
      </w:r>
      <w:r>
        <w:rPr>
          <w:rFonts w:hint="eastAsia" w:ascii="仿宋_GB2312" w:eastAsia="仿宋_GB2312"/>
          <w:sz w:val="32"/>
          <w:szCs w:val="32"/>
          <w:lang w:val="en-US" w:eastAsia="zh-CN"/>
        </w:rPr>
        <w:t>年1-12月。</w:t>
      </w:r>
    </w:p>
    <w:p>
      <w:pPr>
        <w:ind w:firstLine="640" w:firstLineChars="200"/>
        <w:rPr>
          <w:rFonts w:hint="eastAsia" w:ascii="仿宋_GB2312" w:eastAsia="仿宋_GB2312"/>
          <w:color w:val="auto"/>
          <w:sz w:val="32"/>
          <w:szCs w:val="32"/>
        </w:rPr>
      </w:pPr>
      <w:r>
        <w:rPr>
          <w:rFonts w:hint="eastAsia" w:ascii="TimesNewRoman" w:hAnsi="TimesNewRoman" w:eastAsia="仿宋_GB2312" w:cs="TimesNewRoman"/>
          <w:kern w:val="0"/>
          <w:sz w:val="32"/>
          <w:szCs w:val="32"/>
        </w:rPr>
        <w:t>（5）项目内容。</w:t>
      </w:r>
      <w:r>
        <w:rPr>
          <w:rFonts w:hint="eastAsia" w:ascii="仿宋_GB2312" w:eastAsia="仿宋_GB2312"/>
          <w:color w:val="auto"/>
          <w:sz w:val="32"/>
          <w:szCs w:val="32"/>
        </w:rPr>
        <w:t>核心业务系统和综合服务平台的数据容灾和系统容灾。按年支付，主要包括：1、实现系统数据实时同步灾备要求；2、实现业务系统实时接管要求；3、实现系统数据全量备份要求；4、提供上述功能所需要的核心业务服务器、前置服务器、综合服务平台服务器、防火墙、交换机、线路等必须设备；5、每年进行1-2次应急演练；6、提供原厂上门服务等。</w:t>
      </w:r>
    </w:p>
    <w:p>
      <w:pPr>
        <w:ind w:firstLine="640" w:firstLineChars="200"/>
        <w:rPr>
          <w:rFonts w:hint="eastAsia" w:ascii="仿宋_GB2312" w:eastAsia="仿宋_GB2312"/>
          <w:sz w:val="32"/>
          <w:szCs w:val="32"/>
          <w:lang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default" w:ascii="仿宋_GB2312" w:eastAsia="仿宋_GB2312"/>
          <w:sz w:val="32"/>
          <w:szCs w:val="32"/>
          <w:lang w:val="en-US" w:eastAsia="zh-CN"/>
        </w:rPr>
        <w:t>5</w:t>
      </w:r>
      <w:r>
        <w:rPr>
          <w:rFonts w:hint="eastAsia" w:ascii="仿宋_GB2312" w:eastAsia="仿宋_GB2312"/>
          <w:sz w:val="32"/>
          <w:szCs w:val="32"/>
          <w:lang w:val="en-US" w:eastAsia="zh-CN"/>
        </w:rPr>
        <w:t>4.71</w:t>
      </w:r>
      <w:r>
        <w:rPr>
          <w:rFonts w:hint="eastAsia" w:ascii="仿宋_GB2312" w:eastAsia="仿宋_GB2312"/>
          <w:sz w:val="32"/>
          <w:szCs w:val="32"/>
        </w:rPr>
        <w:t>万元</w:t>
      </w:r>
      <w:r>
        <w:rPr>
          <w:rFonts w:hint="eastAsia" w:ascii="仿宋_GB2312" w:eastAsia="仿宋_GB2312"/>
          <w:sz w:val="32"/>
          <w:szCs w:val="32"/>
          <w:lang w:eastAsia="zh-CN"/>
        </w:rPr>
        <w:t>。</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（7）绩效目标。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68"/>
        <w:gridCol w:w="2481"/>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cs="宋体"/>
                <w:sz w:val="20"/>
              </w:rPr>
              <w:t>公积金系统容灾备份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hint="default" w:ascii="宋体" w:eastAsia="宋体" w:cs="宋体"/>
                <w:sz w:val="20"/>
                <w:lang w:val="en-US" w:eastAsia="zh-CN"/>
              </w:rPr>
            </w:pPr>
            <w:r>
              <w:rPr>
                <w:rFonts w:hint="eastAsia" w:ascii="宋体" w:cs="宋体"/>
                <w:sz w:val="20"/>
                <w:lang w:val="en-US" w:eastAsia="zh-CN"/>
              </w:rPr>
              <w:t>淮北市住房公积金管理中心</w:t>
            </w:r>
          </w:p>
        </w:tc>
        <w:tc>
          <w:tcPr>
            <w:tcW w:w="1848"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2380"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淮北市住房公积金管理中心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hint="eastAsia" w:ascii="宋体" w:eastAsia="宋体" w:cs="宋体"/>
                <w:sz w:val="20"/>
                <w:lang w:val="en-US" w:eastAsia="zh-CN"/>
              </w:rPr>
            </w:pPr>
            <w:r>
              <w:rPr>
                <w:rFonts w:hint="eastAsia" w:ascii="宋体" w:cs="宋体"/>
                <w:sz w:val="20"/>
                <w:lang w:val="en-US" w:eastAsia="zh-CN"/>
              </w:rPr>
              <w:t>单位申报</w:t>
            </w:r>
          </w:p>
        </w:tc>
        <w:tc>
          <w:tcPr>
            <w:tcW w:w="1848"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2380"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28" w:type="dxa"/>
            <w:gridSpan w:val="2"/>
            <w:tcBorders>
              <w:tl2br w:val="nil"/>
              <w:tr2bl w:val="nil"/>
            </w:tcBorders>
            <w:vAlign w:val="center"/>
          </w:tcPr>
          <w:p>
            <w:pPr>
              <w:keepNext w:val="0"/>
              <w:keepLines w:val="0"/>
              <w:widowControl/>
              <w:suppressLineNumbers w:val="0"/>
              <w:jc w:val="right"/>
              <w:textAlignment w:val="center"/>
              <w:rPr>
                <w:rFonts w:ascii="宋体" w:cs="宋体"/>
                <w:sz w:val="20"/>
              </w:rPr>
            </w:pPr>
            <w:r>
              <w:rPr>
                <w:rFonts w:hint="eastAsia" w:ascii="宋体" w:hAnsi="宋体" w:eastAsia="宋体" w:cs="宋体"/>
                <w:i w:val="0"/>
                <w:iCs w:val="0"/>
                <w:color w:val="000000"/>
                <w:kern w:val="0"/>
                <w:sz w:val="20"/>
                <w:szCs w:val="20"/>
                <w:highlight w:val="none"/>
                <w:u w:val="none"/>
                <w:lang w:val="en-US" w:eastAsia="zh-CN" w:bidi="ar"/>
              </w:rPr>
              <w:t>54.71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28" w:type="dxa"/>
            <w:gridSpan w:val="2"/>
            <w:tcBorders>
              <w:tl2br w:val="nil"/>
              <w:tr2bl w:val="nil"/>
            </w:tcBorders>
            <w:vAlign w:val="center"/>
          </w:tcPr>
          <w:p>
            <w:pPr>
              <w:keepNext w:val="0"/>
              <w:keepLines w:val="0"/>
              <w:widowControl/>
              <w:suppressLineNumbers w:val="0"/>
              <w:jc w:val="right"/>
              <w:textAlignment w:val="center"/>
              <w:rPr>
                <w:rFonts w:ascii="宋体" w:cs="宋体"/>
                <w:sz w:val="20"/>
                <w:highlight w:val="yellow"/>
              </w:rPr>
            </w:pPr>
            <w:r>
              <w:rPr>
                <w:rFonts w:hint="eastAsia" w:ascii="宋体" w:hAnsi="宋体" w:eastAsia="宋体" w:cs="宋体"/>
                <w:i w:val="0"/>
                <w:iCs w:val="0"/>
                <w:color w:val="000000"/>
                <w:kern w:val="0"/>
                <w:sz w:val="20"/>
                <w:szCs w:val="20"/>
                <w:highlight w:val="none"/>
                <w:u w:val="none"/>
                <w:lang w:val="en-US" w:eastAsia="zh-CN" w:bidi="ar"/>
              </w:rPr>
              <w:t>54.71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jc w:val="left"/>
              <w:rPr>
                <w:rFonts w:ascii="宋体" w:cs="宋体"/>
                <w:sz w:val="20"/>
              </w:rPr>
            </w:pPr>
            <w:r>
              <w:rPr>
                <w:rFonts w:hint="eastAsia" w:ascii="宋体" w:cs="宋体"/>
                <w:sz w:val="20"/>
              </w:rPr>
              <w:t>通过数据同步建立灾备中心可以实现对业务关键数据的容灾及保护，在不影响生产数据库性能的同时为生产数据库在异地建立一份准实时镜像，以保证当生产系统出现故障或者发生灾难时，系统发出短信或者邮件等报警后，只需更改IP地址就能实现系统的切换，保障业务的连续性，非核心业务系统出现灾难或者故障时，能即时从异地灾备中心拿最近一个备份副本进行数据恢复，保障数据安全完整。</w:t>
            </w:r>
            <w:r>
              <w:rPr>
                <w:rFonts w:hint="eastAsia" w:ascii="宋体" w:cs="宋体"/>
                <w:sz w:val="20"/>
              </w:rPr>
              <w:tab/>
            </w:r>
            <w:r>
              <w:rPr>
                <w:rFonts w:hint="eastAsia" w:ascii="宋体" w:cs="宋体"/>
                <w:sz w:val="20"/>
              </w:rPr>
              <w:tab/>
            </w:r>
            <w:r>
              <w:rPr>
                <w:rFonts w:hint="eastAsia" w:ascii="宋体" w:cs="宋体"/>
                <w:sz w:val="20"/>
              </w:rPr>
              <w:tab/>
            </w:r>
            <w:r>
              <w:rPr>
                <w:rFonts w:hint="eastAsia" w:ascii="宋体" w:cs="宋体"/>
                <w:sz w:val="20"/>
              </w:rPr>
              <w:tab/>
            </w:r>
            <w:r>
              <w:rPr>
                <w:rFonts w:hint="eastAsia" w:ascii="宋体" w:cs="宋体"/>
                <w:sz w:val="2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5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481"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15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48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是否完成绩效目标申报表中申报的数量</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15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48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是否达到相关规定的标准和要求</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实现对业务关键数据的容灾及保护，在不影响生产数据库性能的同时为生产数据库在异地建立一份准实时镜像，以保证当生产系统出现故障或者发生灾难时，系统发出短信或者邮件等报警后，只需更改IP地址就能实现系统的切换，保障业务的连续性，非核心业务系统出现灾难或者故障时，能即时从异地灾备中心拿最近一个备份副本进行数据恢复，保障数据安全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15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48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是否按时保质保量完成</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15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48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是否在预设成本总量控制范围内</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严格按照项目预算执行，不得超支。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15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48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是否节省成本</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减少系统出故障时的维护成本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15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48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是否方便缴存职工在线办理</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当主系统出现故障时，备份系统及时接管，可持续为缴存职工提供服务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15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48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是否增加办理材料</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无需提供材料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150" w:type="dxa"/>
            <w:gridSpan w:val="2"/>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48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是否长期有效</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按年购买服务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8" w:type="dxa"/>
            <w:vMerge w:val="continue"/>
            <w:tcBorders>
              <w:tl2br w:val="nil"/>
              <w:tr2bl w:val="nil"/>
            </w:tcBorders>
            <w:vAlign w:val="center"/>
          </w:tcPr>
          <w:p>
            <w:pPr>
              <w:jc w:val="center"/>
              <w:rPr>
                <w:rFonts w:ascii="宋体" w:cs="宋体"/>
                <w:sz w:val="20"/>
              </w:rPr>
            </w:pPr>
          </w:p>
        </w:tc>
        <w:tc>
          <w:tcPr>
            <w:tcW w:w="723" w:type="dxa"/>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1150" w:type="dxa"/>
            <w:gridSpan w:val="2"/>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48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缴存职工是否满意</w:t>
            </w:r>
          </w:p>
        </w:tc>
        <w:tc>
          <w:tcPr>
            <w:tcW w:w="4228" w:type="dxa"/>
            <w:gridSpan w:val="2"/>
            <w:tcBorders>
              <w:tl2br w:val="nil"/>
              <w:tr2bl w:val="nil"/>
            </w:tcBorders>
            <w:vAlign w:val="bottom"/>
          </w:tcPr>
          <w:p>
            <w:pPr>
              <w:keepNext w:val="0"/>
              <w:keepLines w:val="0"/>
              <w:widowControl/>
              <w:suppressLineNumbers w:val="0"/>
              <w:jc w:val="center"/>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群众满意度超过90%</w:t>
            </w:r>
          </w:p>
        </w:tc>
      </w:tr>
    </w:tbl>
    <w:p>
      <w:pPr>
        <w:pStyle w:val="2"/>
        <w:rPr>
          <w:rFonts w:hint="eastAsia"/>
        </w:rPr>
      </w:pPr>
    </w:p>
    <w:p>
      <w:pPr>
        <w:ind w:firstLine="640" w:firstLineChars="200"/>
        <w:rPr>
          <w:rFonts w:hint="default" w:ascii="仿宋_GB2312" w:eastAsia="仿宋_GB2312"/>
          <w:sz w:val="32"/>
          <w:szCs w:val="32"/>
          <w:lang w:val="en-US"/>
        </w:rPr>
      </w:pPr>
    </w:p>
    <w:p>
      <w:pPr>
        <w:ind w:firstLine="640" w:firstLineChars="200"/>
        <w:rPr>
          <w:rFonts w:hint="eastAsia" w:ascii="TimesNewRoman" w:hAnsi="TimesNewRoman" w:eastAsia="仿宋_GB2312" w:cs="TimesNewRoman"/>
          <w:kern w:val="0"/>
          <w:sz w:val="32"/>
          <w:szCs w:val="32"/>
        </w:rPr>
      </w:pPr>
      <w:r>
        <w:rPr>
          <w:rFonts w:hint="default" w:ascii="仿宋_GB2312" w:eastAsia="仿宋_GB2312"/>
          <w:sz w:val="32"/>
          <w:szCs w:val="32"/>
          <w:lang w:val="en-US"/>
        </w:rPr>
        <w:t>3.</w:t>
      </w:r>
      <w:r>
        <w:rPr>
          <w:rFonts w:hint="eastAsia" w:ascii="TimesNewRoman" w:hAnsi="TimesNewRoman" w:eastAsia="仿宋_GB2312" w:cs="TimesNewRoman"/>
          <w:kern w:val="0"/>
          <w:sz w:val="32"/>
          <w:szCs w:val="32"/>
        </w:rPr>
        <w:t>“</w:t>
      </w:r>
      <w:r>
        <w:rPr>
          <w:rFonts w:hint="eastAsia" w:ascii="仿宋_GB2312" w:eastAsia="仿宋_GB2312"/>
          <w:sz w:val="32"/>
          <w:szCs w:val="32"/>
          <w:lang w:val="en-US" w:eastAsia="zh-CN"/>
        </w:rPr>
        <w:t>电子资源管理平台</w:t>
      </w:r>
      <w:r>
        <w:rPr>
          <w:rFonts w:hint="eastAsia" w:ascii="TimesNewRoman" w:hAnsi="TimesNewRoman" w:eastAsia="仿宋_GB2312" w:cs="TimesNewRoman"/>
          <w:kern w:val="0"/>
          <w:sz w:val="32"/>
          <w:szCs w:val="32"/>
        </w:rPr>
        <w:t>”项目。</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（1）项目概述。推动电子资源管理平台与中心现有系统进行接口方式对接方式，实现电子资源管理平台与业务系统的无缝衔接，全方位的提升中心的电子资料管理、利用开发、数据共享服务能力。</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0" w:lineRule="exact"/>
        <w:ind w:left="0" w:leftChars="0" w:right="105" w:rightChars="50" w:firstLine="640" w:firstLineChars="200"/>
        <w:jc w:val="both"/>
        <w:textAlignment w:val="baseline"/>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default" w:ascii="Times New Roman" w:hAnsi="Times New Roman" w:eastAsia="仿宋_GB2312" w:cs="Times New Roman"/>
          <w:sz w:val="32"/>
          <w:szCs w:val="32"/>
          <w:lang w:val="en-US" w:eastAsia="zh-CN"/>
        </w:rPr>
        <w:t>《住房公积金业务档案管理标准》第10章：信息化建设的10.2基本功能的章节，对电子档案管理信息系统提出明确要求：“电子档案应具备形成与收集、整理与归档功能、鉴定与销毁、利用与开发、统计与移交、存储与备份等六种功能。以及所延伸的纸质档案电子化进行档案的共享和复用、纸质档案的凭证化来进行对类似财务、交易流水、业务审批数据、日志报文等元数据进行存证留痕。”</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val="en-US" w:eastAsia="zh-CN"/>
        </w:rPr>
        <w:t>淮北市住房公积金管理中心</w:t>
      </w:r>
    </w:p>
    <w:p>
      <w:pPr>
        <w:ind w:firstLine="640" w:firstLineChars="200"/>
        <w:rPr>
          <w:rFonts w:hint="default" w:ascii="仿宋_GB2312" w:eastAsia="仿宋_GB2312"/>
          <w:sz w:val="32"/>
          <w:szCs w:val="32"/>
          <w:lang w:val="en-US" w:eastAsia="zh-CN"/>
        </w:rPr>
      </w:pPr>
      <w:r>
        <w:rPr>
          <w:rFonts w:hint="eastAsia" w:ascii="TimesNewRoman" w:hAnsi="TimesNewRoman" w:eastAsia="仿宋_GB2312" w:cs="TimesNewRoman"/>
          <w:kern w:val="0"/>
          <w:sz w:val="32"/>
          <w:szCs w:val="32"/>
        </w:rPr>
        <w:t>（4）起止时间。</w:t>
      </w:r>
      <w:r>
        <w:rPr>
          <w:rFonts w:hint="eastAsia" w:ascii="仿宋_GB2312" w:eastAsia="仿宋_GB2312"/>
          <w:sz w:val="32"/>
          <w:szCs w:val="32"/>
          <w:lang w:val="en-US" w:eastAsia="zh-CN"/>
        </w:rPr>
        <w:t>202</w:t>
      </w:r>
      <w:r>
        <w:rPr>
          <w:rFonts w:hint="default" w:ascii="仿宋_GB2312" w:eastAsia="仿宋_GB2312"/>
          <w:sz w:val="32"/>
          <w:szCs w:val="32"/>
          <w:lang w:val="en-US" w:eastAsia="zh-CN"/>
        </w:rPr>
        <w:t>3</w:t>
      </w:r>
      <w:r>
        <w:rPr>
          <w:rFonts w:hint="eastAsia" w:ascii="仿宋_GB2312" w:eastAsia="仿宋_GB2312"/>
          <w:sz w:val="32"/>
          <w:szCs w:val="32"/>
          <w:lang w:val="en-US" w:eastAsia="zh-CN"/>
        </w:rPr>
        <w:t>年1-12月。</w:t>
      </w:r>
    </w:p>
    <w:p>
      <w:pPr>
        <w:pStyle w:val="3"/>
        <w:keepNext w:val="0"/>
        <w:keepLines w:val="0"/>
        <w:pageBreakBefore w:val="0"/>
        <w:kinsoku/>
        <w:wordWrap/>
        <w:overflowPunct/>
        <w:topLinePunct w:val="0"/>
        <w:autoSpaceDE/>
        <w:autoSpaceDN/>
        <w:bidi w:val="0"/>
        <w:adjustRightInd/>
        <w:snapToGrid/>
        <w:spacing w:before="0" w:beforeAutospacing="0" w:after="0" w:afterAutospacing="0" w:line="570" w:lineRule="exact"/>
        <w:ind w:left="0" w:leftChars="0" w:right="105" w:rightChars="50" w:firstLine="640" w:firstLineChars="200"/>
        <w:jc w:val="both"/>
        <w:textAlignment w:val="baseline"/>
        <w:rPr>
          <w:rFonts w:hint="default" w:ascii="Times New Roman" w:hAnsi="Times New Roman" w:eastAsia="仿宋_GB2312" w:cs="Times New Roman"/>
          <w:sz w:val="32"/>
          <w:szCs w:val="32"/>
        </w:rPr>
      </w:pPr>
      <w:r>
        <w:rPr>
          <w:rFonts w:hint="eastAsia" w:ascii="TimesNewRoman" w:hAnsi="TimesNewRoman" w:eastAsia="仿宋_GB2312" w:cs="TimesNewRoman"/>
          <w:kern w:val="0"/>
          <w:sz w:val="32"/>
          <w:szCs w:val="32"/>
        </w:rPr>
        <w:t>（5）项目内容。</w:t>
      </w:r>
      <w:r>
        <w:rPr>
          <w:rFonts w:hint="default" w:ascii="Times New Roman" w:hAnsi="Times New Roman" w:eastAsia="仿宋_GB2312" w:cs="Times New Roman"/>
          <w:sz w:val="32"/>
          <w:szCs w:val="32"/>
        </w:rPr>
        <w:t>实现公积金业务档案的数字化入库工作，搭建高效的电子档案共享平台，解决中心海量业务档案的存储与管理问题；建立完整的档案整理、收缴、保存、借用、销毁等管理流程；利用电子信息技术减轻中心工作人员的机械性劳动，解放生产力、提高工作效率；提高业务档案的查询效率，提升服务质量。</w:t>
      </w:r>
    </w:p>
    <w:p>
      <w:pPr>
        <w:ind w:firstLine="640" w:firstLineChars="200"/>
        <w:rPr>
          <w:rFonts w:hint="eastAsia" w:ascii="仿宋_GB2312" w:eastAsia="仿宋_GB2312"/>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仿宋_GB2312" w:eastAsia="仿宋_GB2312"/>
          <w:sz w:val="32"/>
          <w:szCs w:val="32"/>
          <w:lang w:val="en-US" w:eastAsia="zh-CN"/>
        </w:rPr>
        <w:t>153.14</w:t>
      </w:r>
      <w:r>
        <w:rPr>
          <w:rFonts w:hint="eastAsia" w:ascii="仿宋_GB2312" w:eastAsia="仿宋_GB2312"/>
          <w:sz w:val="32"/>
          <w:szCs w:val="32"/>
        </w:rPr>
        <w:t>万元</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（7）绩效目标。</w:t>
      </w:r>
    </w:p>
    <w:p>
      <w:pPr>
        <w:pStyle w:val="2"/>
        <w:rPr>
          <w:rFonts w:hint="eastAsia" w:ascii="TimesNewRoman" w:hAnsi="TimesNewRoman" w:eastAsia="仿宋_GB2312" w:cs="TimesNewRoman"/>
          <w:kern w:val="0"/>
          <w:sz w:val="32"/>
          <w:szCs w:val="32"/>
          <w:highlight w:val="yellow"/>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928"/>
        <w:gridCol w:w="2421"/>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cs="宋体"/>
                <w:sz w:val="20"/>
              </w:rPr>
              <w:t>电子资源管理平台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hint="default" w:ascii="宋体" w:eastAsia="宋体" w:cs="宋体"/>
                <w:sz w:val="20"/>
                <w:lang w:val="en-US" w:eastAsia="zh-CN"/>
              </w:rPr>
            </w:pPr>
            <w:r>
              <w:rPr>
                <w:rFonts w:hint="eastAsia" w:ascii="宋体" w:cs="宋体"/>
                <w:sz w:val="20"/>
                <w:lang w:val="en-US" w:eastAsia="zh-CN"/>
              </w:rPr>
              <w:t>淮北市住房公积金管理中心</w:t>
            </w:r>
          </w:p>
        </w:tc>
        <w:tc>
          <w:tcPr>
            <w:tcW w:w="1848"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2380"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淮北市住房公积金管理中心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hint="eastAsia" w:ascii="宋体" w:eastAsia="宋体" w:cs="宋体"/>
                <w:sz w:val="20"/>
                <w:lang w:val="en-US" w:eastAsia="zh-CN"/>
              </w:rPr>
            </w:pPr>
            <w:r>
              <w:rPr>
                <w:rFonts w:hint="eastAsia" w:ascii="宋体" w:cs="宋体"/>
                <w:sz w:val="20"/>
                <w:lang w:val="en-US" w:eastAsia="zh-CN"/>
              </w:rPr>
              <w:t>单位申报</w:t>
            </w:r>
          </w:p>
        </w:tc>
        <w:tc>
          <w:tcPr>
            <w:tcW w:w="1848"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2380"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28" w:type="dxa"/>
            <w:gridSpan w:val="2"/>
            <w:tcBorders>
              <w:tl2br w:val="nil"/>
              <w:tr2bl w:val="nil"/>
            </w:tcBorders>
            <w:vAlign w:val="center"/>
          </w:tcPr>
          <w:p>
            <w:pPr>
              <w:keepNext w:val="0"/>
              <w:keepLines w:val="0"/>
              <w:widowControl/>
              <w:suppressLineNumbers w:val="0"/>
              <w:jc w:val="righ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153.14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28" w:type="dxa"/>
            <w:gridSpan w:val="2"/>
            <w:tcBorders>
              <w:tl2br w:val="nil"/>
              <w:tr2bl w:val="nil"/>
            </w:tcBorders>
            <w:vAlign w:val="center"/>
          </w:tcPr>
          <w:p>
            <w:pPr>
              <w:keepNext w:val="0"/>
              <w:keepLines w:val="0"/>
              <w:widowControl/>
              <w:suppressLineNumbers w:val="0"/>
              <w:jc w:val="right"/>
              <w:textAlignment w:val="center"/>
              <w:rPr>
                <w:rFonts w:hint="default" w:ascii="宋体" w:cs="宋体"/>
                <w:sz w:val="20"/>
                <w:lang w:val="en-US"/>
              </w:rPr>
            </w:pPr>
            <w:r>
              <w:rPr>
                <w:rFonts w:hint="eastAsia" w:ascii="宋体" w:hAnsi="宋体" w:eastAsia="宋体" w:cs="宋体"/>
                <w:i w:val="0"/>
                <w:iCs w:val="0"/>
                <w:color w:val="000000"/>
                <w:kern w:val="0"/>
                <w:sz w:val="20"/>
                <w:szCs w:val="20"/>
                <w:u w:val="none"/>
                <w:lang w:val="en-US" w:eastAsia="zh-CN" w:bidi="ar"/>
              </w:rPr>
              <w:t>153.14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jc w:val="center"/>
              <w:rPr>
                <w:rFonts w:ascii="宋体" w:cs="宋体"/>
                <w:sz w:val="20"/>
              </w:rPr>
            </w:pPr>
            <w:r>
              <w:rPr>
                <w:rFonts w:hint="eastAsia" w:ascii="宋体" w:cs="宋体"/>
                <w:sz w:val="20"/>
              </w:rPr>
              <w:t>推动电子资源管理平台与中心现有系统进行接口方式对接方式，实现电子资源管理平台与业务系统的无缝衔接，全方位的提升中心的电子资料管理、利用开发、数据共享服务能力。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21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421"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21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42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是否完成绩效目标申报表中申报的数量</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21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42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是否达到相关规定的标准和要求</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建设电子资源管理平台，完成财务电子凭证系统、存证留痕系统，实现业务材料复用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21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42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是否按时保质保量完成</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21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42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是否在预设成本总量控制范围内</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严格按照项目预算执行，不得超支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21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42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是否节省缴存职工办理成本</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无需到达现场，实现远程办理，节约路程成本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21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42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是否方便缴存职工在线办理</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为在线办理各类住房公积金业务提供平台支撑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210"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421" w:type="dxa"/>
            <w:tcBorders>
              <w:tl2br w:val="nil"/>
              <w:tr2bl w:val="nil"/>
            </w:tcBorders>
            <w:vAlign w:val="bottom"/>
          </w:tcPr>
          <w:p>
            <w:pPr>
              <w:keepNext w:val="0"/>
              <w:keepLines w:val="0"/>
              <w:widowControl/>
              <w:suppressLineNumbers w:val="0"/>
              <w:jc w:val="left"/>
              <w:textAlignment w:val="bottom"/>
              <w:rPr>
                <w:rFonts w:ascii="宋体" w:cs="宋体"/>
                <w:sz w:val="20"/>
              </w:rPr>
            </w:pPr>
            <w:r>
              <w:rPr>
                <w:rFonts w:hint="eastAsia" w:ascii="宋体" w:hAnsi="宋体" w:eastAsia="宋体" w:cs="宋体"/>
                <w:i w:val="0"/>
                <w:iCs w:val="0"/>
                <w:color w:val="000000"/>
                <w:kern w:val="0"/>
                <w:sz w:val="22"/>
                <w:szCs w:val="22"/>
                <w:u w:val="none"/>
                <w:lang w:val="en-US" w:eastAsia="zh-CN" w:bidi="ar"/>
              </w:rPr>
              <w:t>是否增加办理材料</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无需提供材料复印件，拍照上传即可，实现无纸化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1210" w:type="dxa"/>
            <w:gridSpan w:val="2"/>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42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是否长期有效</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是否长期有效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1210" w:type="dxa"/>
            <w:gridSpan w:val="2"/>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42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缴存职工满意度</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≥90</w:t>
            </w:r>
          </w:p>
        </w:tc>
      </w:tr>
    </w:tbl>
    <w:p>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为非参照公务员法管理的事业单位，按照部门预算机关运行经费口径，2023年无机关运行经费财政拨款预算。</w:t>
      </w:r>
    </w:p>
    <w:p>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2023年政府采购预算</w:t>
      </w:r>
      <w:r>
        <w:rPr>
          <w:rFonts w:hint="default" w:ascii="TimesNewRoman" w:hAnsi="TimesNewRoman" w:eastAsia="仿宋_GB2312" w:cs="TimesNewRoman"/>
          <w:kern w:val="0"/>
          <w:sz w:val="32"/>
          <w:szCs w:val="32"/>
          <w:lang w:val="en-US"/>
        </w:rPr>
        <w:t>327.95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highlight w:val="none"/>
        </w:rPr>
        <w:t>其中：政府采购货物预算</w:t>
      </w:r>
      <w:r>
        <w:rPr>
          <w:rFonts w:hint="default" w:ascii="TimesNewRoman" w:hAnsi="TimesNewRoman" w:eastAsia="仿宋_GB2312" w:cs="TimesNewRoman"/>
          <w:kern w:val="0"/>
          <w:sz w:val="32"/>
          <w:szCs w:val="32"/>
          <w:highlight w:val="none"/>
          <w:lang w:val="en-US"/>
        </w:rPr>
        <w:t>327.95</w:t>
      </w:r>
      <w:r>
        <w:rPr>
          <w:rFonts w:hint="eastAsia" w:ascii="TimesNewRoman" w:hAnsi="TimesNewRoman" w:eastAsia="仿宋_GB2312" w:cs="TimesNewRoman"/>
          <w:kern w:val="0"/>
          <w:sz w:val="32"/>
          <w:szCs w:val="32"/>
          <w:highlight w:val="none"/>
        </w:rPr>
        <w:t>万元，政府采购工程预算</w:t>
      </w:r>
      <w:r>
        <w:rPr>
          <w:rFonts w:hint="default" w:ascii="TimesNewRoman" w:hAnsi="TimesNewRoman" w:eastAsia="仿宋_GB2312" w:cs="TimesNewRoman"/>
          <w:kern w:val="0"/>
          <w:sz w:val="32"/>
          <w:szCs w:val="32"/>
          <w:highlight w:val="none"/>
          <w:lang w:val="en-US"/>
        </w:rPr>
        <w:t>0</w:t>
      </w:r>
      <w:r>
        <w:rPr>
          <w:rFonts w:hint="eastAsia" w:ascii="TimesNewRoman" w:hAnsi="TimesNewRoman" w:eastAsia="仿宋_GB2312" w:cs="TimesNewRoman"/>
          <w:kern w:val="0"/>
          <w:sz w:val="32"/>
          <w:szCs w:val="32"/>
          <w:highlight w:val="none"/>
        </w:rPr>
        <w:t>万元，政府采购服务预算</w:t>
      </w:r>
      <w:r>
        <w:rPr>
          <w:rFonts w:hint="default" w:ascii="TimesNewRoman" w:hAnsi="TimesNewRoman" w:eastAsia="仿宋_GB2312" w:cs="TimesNewRoman"/>
          <w:kern w:val="0"/>
          <w:sz w:val="32"/>
          <w:szCs w:val="32"/>
          <w:highlight w:val="none"/>
          <w:lang w:val="en-US"/>
        </w:rPr>
        <w:t>0</w:t>
      </w:r>
      <w:r>
        <w:rPr>
          <w:rFonts w:hint="eastAsia" w:ascii="TimesNewRoman" w:hAnsi="TimesNewRoman" w:eastAsia="仿宋_GB2312" w:cs="TimesNewRoman"/>
          <w:kern w:val="0"/>
          <w:sz w:val="32"/>
          <w:szCs w:val="32"/>
          <w:highlight w:val="none"/>
        </w:rPr>
        <w:t>万元。</w:t>
      </w:r>
    </w:p>
    <w:p>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截至2022年12月31日，淮北市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rPr>
        <w:t>共有车辆</w:t>
      </w:r>
      <w:r>
        <w:rPr>
          <w:rFonts w:hint="default" w:ascii="TimesNewRoman" w:hAnsi="TimesNewRoman" w:eastAsia="仿宋_GB2312" w:cs="TimesNewRoman"/>
          <w:kern w:val="0"/>
          <w:sz w:val="32"/>
          <w:szCs w:val="32"/>
          <w:lang w:val="en-US"/>
        </w:rPr>
        <w:t>1</w:t>
      </w:r>
      <w:r>
        <w:rPr>
          <w:rFonts w:hint="eastAsia" w:ascii="TimesNewRoman" w:hAnsi="TimesNewRoman" w:eastAsia="仿宋_GB2312" w:cs="TimesNewRoman"/>
          <w:kern w:val="0"/>
          <w:sz w:val="32"/>
          <w:szCs w:val="32"/>
        </w:rPr>
        <w:t>辆，其中：其他用车</w:t>
      </w:r>
      <w:r>
        <w:rPr>
          <w:rFonts w:hint="default" w:ascii="TimesNewRoman" w:hAnsi="TimesNewRoman" w:eastAsia="仿宋_GB2312" w:cs="TimesNewRoman"/>
          <w:kern w:val="0"/>
          <w:sz w:val="32"/>
          <w:szCs w:val="32"/>
          <w:lang w:val="en-US"/>
        </w:rPr>
        <w:t>1</w:t>
      </w:r>
      <w:r>
        <w:rPr>
          <w:rFonts w:hint="eastAsia" w:ascii="TimesNewRoman" w:hAnsi="TimesNewRoman" w:eastAsia="仿宋_GB2312" w:cs="TimesNewRoman"/>
          <w:kern w:val="0"/>
          <w:sz w:val="32"/>
          <w:szCs w:val="32"/>
        </w:rPr>
        <w:t>辆。单价50万元以上的通用设备</w:t>
      </w:r>
      <w:r>
        <w:rPr>
          <w:rFonts w:hint="default" w:ascii="TimesNewRoman" w:hAnsi="TimesNewRoman" w:eastAsia="仿宋_GB2312" w:cs="TimesNewRoman"/>
          <w:kern w:val="0"/>
          <w:sz w:val="32"/>
          <w:szCs w:val="32"/>
          <w:lang w:val="en-US"/>
        </w:rPr>
        <w:t>0</w:t>
      </w:r>
      <w:r>
        <w:rPr>
          <w:rFonts w:hint="eastAsia" w:ascii="TimesNewRoman" w:hAnsi="TimesNewRoman" w:eastAsia="仿宋_GB2312" w:cs="TimesNewRoman"/>
          <w:kern w:val="0"/>
          <w:sz w:val="32"/>
          <w:szCs w:val="32"/>
        </w:rPr>
        <w:t>台（套），单价100万元以上的专用设备</w:t>
      </w:r>
      <w:r>
        <w:rPr>
          <w:rFonts w:hint="default" w:ascii="TimesNewRoman" w:hAnsi="TimesNewRoman" w:eastAsia="仿宋_GB2312" w:cs="TimesNewRoman"/>
          <w:kern w:val="0"/>
          <w:sz w:val="32"/>
          <w:szCs w:val="32"/>
          <w:lang w:val="en-US"/>
        </w:rPr>
        <w:t>0</w:t>
      </w:r>
      <w:r>
        <w:rPr>
          <w:rFonts w:hint="eastAsia" w:ascii="TimesNewRoman" w:hAnsi="TimesNewRoman" w:eastAsia="仿宋_GB2312" w:cs="TimesNewRoman"/>
          <w:kern w:val="0"/>
          <w:sz w:val="32"/>
          <w:szCs w:val="32"/>
        </w:rPr>
        <w:t>台（套）。</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highlight w:val="none"/>
        </w:rPr>
        <w:t>2023年部门（单位）预算安排购置公务用车</w:t>
      </w:r>
      <w:r>
        <w:rPr>
          <w:rFonts w:hint="default" w:ascii="TimesNewRoman" w:hAnsi="TimesNewRoman" w:eastAsia="仿宋_GB2312" w:cs="TimesNewRoman"/>
          <w:kern w:val="0"/>
          <w:sz w:val="32"/>
          <w:szCs w:val="32"/>
          <w:highlight w:val="none"/>
          <w:lang w:val="en-US"/>
        </w:rPr>
        <w:t>0</w:t>
      </w:r>
      <w:r>
        <w:rPr>
          <w:rFonts w:hint="eastAsia" w:ascii="TimesNewRoman" w:hAnsi="TimesNewRoman" w:eastAsia="仿宋_GB2312" w:cs="TimesNewRoman"/>
          <w:kern w:val="0"/>
          <w:sz w:val="32"/>
          <w:szCs w:val="32"/>
          <w:highlight w:val="none"/>
        </w:rPr>
        <w:t>辆，购置费</w:t>
      </w:r>
      <w:r>
        <w:rPr>
          <w:rFonts w:hint="default" w:ascii="TimesNewRoman" w:hAnsi="TimesNewRoman" w:eastAsia="仿宋_GB2312" w:cs="TimesNewRoman"/>
          <w:kern w:val="0"/>
          <w:sz w:val="32"/>
          <w:szCs w:val="32"/>
          <w:highlight w:val="none"/>
          <w:lang w:val="en-US"/>
        </w:rPr>
        <w:t>0</w:t>
      </w:r>
      <w:r>
        <w:rPr>
          <w:rFonts w:hint="eastAsia" w:ascii="TimesNewRoman" w:hAnsi="TimesNewRoman" w:eastAsia="仿宋_GB2312" w:cs="TimesNewRoman"/>
          <w:kern w:val="0"/>
          <w:sz w:val="32"/>
          <w:szCs w:val="32"/>
          <w:highlight w:val="none"/>
        </w:rPr>
        <w:t>万元；安</w:t>
      </w:r>
      <w:r>
        <w:rPr>
          <w:rFonts w:hint="eastAsia" w:ascii="TimesNewRoman" w:hAnsi="TimesNewRoman" w:eastAsia="仿宋_GB2312" w:cs="TimesNewRoman"/>
          <w:kern w:val="0"/>
          <w:sz w:val="32"/>
          <w:szCs w:val="32"/>
        </w:rPr>
        <w:t>排购置单价50万元以上的通用设备</w:t>
      </w:r>
      <w:r>
        <w:rPr>
          <w:rFonts w:hint="default" w:ascii="TimesNewRoman" w:hAnsi="TimesNewRoman" w:eastAsia="仿宋_GB2312" w:cs="TimesNewRoman"/>
          <w:kern w:val="0"/>
          <w:sz w:val="32"/>
          <w:szCs w:val="32"/>
          <w:lang w:val="en-US"/>
        </w:rPr>
        <w:t>0</w:t>
      </w:r>
      <w:r>
        <w:rPr>
          <w:rFonts w:hint="eastAsia" w:ascii="TimesNewRoman" w:hAnsi="TimesNewRoman" w:eastAsia="仿宋_GB2312" w:cs="TimesNewRoman"/>
          <w:kern w:val="0"/>
          <w:sz w:val="32"/>
          <w:szCs w:val="32"/>
        </w:rPr>
        <w:t>台（套），购置费</w:t>
      </w:r>
      <w:r>
        <w:rPr>
          <w:rFonts w:hint="default" w:ascii="TimesNewRoman" w:hAnsi="TimesNewRoman" w:eastAsia="仿宋_GB2312" w:cs="TimesNewRoman"/>
          <w:kern w:val="0"/>
          <w:sz w:val="32"/>
          <w:szCs w:val="32"/>
          <w:lang w:val="en-US"/>
        </w:rPr>
        <w:t>0</w:t>
      </w:r>
      <w:r>
        <w:rPr>
          <w:rFonts w:hint="eastAsia" w:ascii="TimesNewRoman" w:hAnsi="TimesNewRoman" w:eastAsia="仿宋_GB2312" w:cs="TimesNewRoman"/>
          <w:kern w:val="0"/>
          <w:sz w:val="32"/>
          <w:szCs w:val="32"/>
        </w:rPr>
        <w:t>万元；安排购置单价100万元以上专用设备</w:t>
      </w:r>
      <w:r>
        <w:rPr>
          <w:rFonts w:hint="default" w:ascii="TimesNewRoman" w:hAnsi="TimesNewRoman" w:eastAsia="仿宋_GB2312" w:cs="TimesNewRoman"/>
          <w:kern w:val="0"/>
          <w:sz w:val="32"/>
          <w:szCs w:val="32"/>
          <w:lang w:val="en-US"/>
        </w:rPr>
        <w:t>0</w:t>
      </w:r>
      <w:r>
        <w:rPr>
          <w:rFonts w:hint="eastAsia" w:ascii="TimesNewRoman" w:hAnsi="TimesNewRoman" w:eastAsia="仿宋_GB2312" w:cs="TimesNewRoman"/>
          <w:kern w:val="0"/>
          <w:sz w:val="32"/>
          <w:szCs w:val="32"/>
        </w:rPr>
        <w:t>台（套），购置费</w:t>
      </w:r>
      <w:r>
        <w:rPr>
          <w:rFonts w:hint="default" w:ascii="TimesNewRoman" w:hAnsi="TimesNewRoman" w:eastAsia="仿宋_GB2312" w:cs="TimesNewRoman"/>
          <w:kern w:val="0"/>
          <w:sz w:val="32"/>
          <w:szCs w:val="32"/>
          <w:lang w:val="en-US"/>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2023年，淮北市</w:t>
      </w:r>
      <w:r>
        <w:rPr>
          <w:rFonts w:hint="eastAsia" w:ascii="TimesNewRoman" w:hAnsi="TimesNewRoman" w:eastAsia="仿宋_GB2312" w:cs="TimesNewRoman"/>
          <w:kern w:val="0"/>
          <w:sz w:val="32"/>
          <w:szCs w:val="32"/>
          <w:lang w:val="en-US" w:eastAsia="zh-CN"/>
        </w:rPr>
        <w:t>住房公积金管理中心</w:t>
      </w:r>
      <w:r>
        <w:rPr>
          <w:rFonts w:hint="eastAsia" w:ascii="TimesNewRoman" w:hAnsi="TimesNewRoman" w:eastAsia="仿宋_GB2312" w:cs="TimesNewRoman"/>
          <w:kern w:val="0"/>
          <w:sz w:val="32"/>
          <w:szCs w:val="32"/>
          <w:highlight w:val="none"/>
          <w:lang w:val="en-US" w:eastAsia="zh-CN"/>
        </w:rPr>
        <w:t>11</w:t>
      </w:r>
      <w:r>
        <w:rPr>
          <w:rFonts w:hint="eastAsia" w:ascii="TimesNewRoman" w:hAnsi="TimesNewRoman" w:eastAsia="仿宋_GB2312" w:cs="TimesNewRoman"/>
          <w:kern w:val="0"/>
          <w:sz w:val="32"/>
          <w:szCs w:val="32"/>
          <w:highlight w:val="none"/>
        </w:rPr>
        <w:t>个项目实行了绩效目标管理，涉及一般公共预算当年财政拨款</w:t>
      </w:r>
      <w:r>
        <w:rPr>
          <w:rFonts w:hint="eastAsia" w:ascii="TimesNewRoman" w:hAnsi="TimesNewRoman" w:eastAsia="仿宋_GB2312" w:cs="TimesNewRoman"/>
          <w:kern w:val="0"/>
          <w:sz w:val="32"/>
          <w:szCs w:val="32"/>
          <w:highlight w:val="none"/>
          <w:lang w:val="en-US" w:eastAsia="zh-CN"/>
        </w:rPr>
        <w:t>1607.19</w:t>
      </w:r>
      <w:r>
        <w:rPr>
          <w:rFonts w:hint="eastAsia" w:ascii="TimesNewRoman" w:hAnsi="TimesNewRoman" w:eastAsia="仿宋_GB2312" w:cs="TimesNewRoman"/>
          <w:kern w:val="0"/>
          <w:sz w:val="32"/>
          <w:szCs w:val="32"/>
          <w:highlight w:val="none"/>
        </w:rPr>
        <w:t>万</w:t>
      </w:r>
      <w:r>
        <w:rPr>
          <w:rFonts w:hint="eastAsia" w:ascii="TimesNewRoman" w:hAnsi="TimesNewRoman" w:eastAsia="仿宋_GB2312" w:cs="TimesNewRoman"/>
          <w:kern w:val="0"/>
          <w:sz w:val="32"/>
          <w:szCs w:val="32"/>
        </w:rPr>
        <w:t>元。</w:t>
      </w:r>
    </w:p>
    <w:p/>
    <w:p>
      <w:pPr>
        <w:pStyle w:val="3"/>
        <w:adjustRightInd w:val="0"/>
        <w:snapToGrid w:val="0"/>
        <w:spacing w:line="560" w:lineRule="exact"/>
        <w:jc w:val="center"/>
        <w:rPr>
          <w:rFonts w:hint="eastAsia"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3"/>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
    <w:p/>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7B8B5F-D93C-47DC-82FF-B3342AF0B7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6BFDC16B-1179-45DA-9C18-E793426759B9}"/>
  </w:font>
  <w:font w:name="TimesNewRoman">
    <w:altName w:val="Segoe Print"/>
    <w:panose1 w:val="00000000000000000000"/>
    <w:charset w:val="00"/>
    <w:family w:val="auto"/>
    <w:pitch w:val="default"/>
    <w:sig w:usb0="00000000" w:usb1="00000000" w:usb2="00000029" w:usb3="00000000" w:csb0="600001FF" w:csb1="FFFF0000"/>
    <w:embedRegular r:id="rId3" w:fontKey="{79979CF9-7E58-47AD-B650-03A4282F2EEF}"/>
  </w:font>
  <w:font w:name="方正小标宋_GBK">
    <w:panose1 w:val="02000000000000000000"/>
    <w:charset w:val="86"/>
    <w:family w:val="auto"/>
    <w:pitch w:val="default"/>
    <w:sig w:usb0="A00002BF" w:usb1="38CF7CFA" w:usb2="00082016" w:usb3="00000000" w:csb0="00040001" w:csb1="00000000"/>
    <w:embedRegular r:id="rId4" w:fontKey="{C2548893-2A07-46B3-8D5B-5471841DE57F}"/>
  </w:font>
  <w:font w:name="华文中宋">
    <w:altName w:val="宋体"/>
    <w:panose1 w:val="02010600040101010101"/>
    <w:charset w:val="86"/>
    <w:family w:val="auto"/>
    <w:pitch w:val="default"/>
    <w:sig w:usb0="00000000" w:usb1="00000000" w:usb2="00000010" w:usb3="00000000" w:csb0="0004009F" w:csb1="00000000"/>
    <w:embedRegular r:id="rId5" w:fontKey="{C4EA48D4-7C55-421E-8F5B-CFAF8191DCE9}"/>
  </w:font>
  <w:font w:name="方正仿宋_GB2312">
    <w:panose1 w:val="02000000000000000000"/>
    <w:charset w:val="86"/>
    <w:family w:val="auto"/>
    <w:pitch w:val="default"/>
    <w:sig w:usb0="A00002BF" w:usb1="184F6CFA" w:usb2="00000012" w:usb3="00000000" w:csb0="00040001" w:csb1="00000000"/>
    <w:embedRegular r:id="rId6" w:fontKey="{2E42A41C-9C72-4125-BD73-1457CFBB43CE}"/>
  </w:font>
  <w:font w:name="楷体_GB2312">
    <w:altName w:val="楷体"/>
    <w:panose1 w:val="02010609030101010101"/>
    <w:charset w:val="86"/>
    <w:family w:val="modern"/>
    <w:pitch w:val="default"/>
    <w:sig w:usb0="00000000" w:usb1="00000000" w:usb2="00000010" w:usb3="00000000" w:csb0="00040000" w:csb1="00000000"/>
    <w:embedRegular r:id="rId7" w:fontKey="{B2925359-A2D5-48B8-A40D-D88B95BEDDE9}"/>
  </w:font>
  <w:font w:name="汉仪中秀体简">
    <w:altName w:val="微软雅黑"/>
    <w:panose1 w:val="00000000000000000000"/>
    <w:charset w:val="00"/>
    <w:family w:val="auto"/>
    <w:pitch w:val="default"/>
    <w:sig w:usb0="00000000" w:usb1="00000000" w:usb2="00000000" w:usb3="00000000" w:csb0="00040001" w:csb1="00000000"/>
    <w:embedRegular r:id="rId8" w:fontKey="{09ABFF31-36E7-476D-AED6-11542E965CC9}"/>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UxNmNmNWIwODcxMWI0NjQ2OTNhOGYxZDIzYzExYTgifQ=="/>
  </w:docVars>
  <w:rsids>
    <w:rsidRoot w:val="00E907C4"/>
    <w:rsid w:val="0057562B"/>
    <w:rsid w:val="006546AF"/>
    <w:rsid w:val="008F6D1A"/>
    <w:rsid w:val="009A3CA3"/>
    <w:rsid w:val="00AE3242"/>
    <w:rsid w:val="00E907C4"/>
    <w:rsid w:val="00EC7755"/>
    <w:rsid w:val="033B5030"/>
    <w:rsid w:val="05BB53F7"/>
    <w:rsid w:val="096514A0"/>
    <w:rsid w:val="0BC92912"/>
    <w:rsid w:val="0C337726"/>
    <w:rsid w:val="0D756C89"/>
    <w:rsid w:val="0DD57B39"/>
    <w:rsid w:val="0DDC0078"/>
    <w:rsid w:val="0E0117E6"/>
    <w:rsid w:val="0EB93221"/>
    <w:rsid w:val="10270750"/>
    <w:rsid w:val="12A94430"/>
    <w:rsid w:val="14306F7C"/>
    <w:rsid w:val="16AC584E"/>
    <w:rsid w:val="16E03B88"/>
    <w:rsid w:val="175D0B30"/>
    <w:rsid w:val="19607EB2"/>
    <w:rsid w:val="1C010E0D"/>
    <w:rsid w:val="1CB21E2A"/>
    <w:rsid w:val="1CB905BC"/>
    <w:rsid w:val="1D8D4321"/>
    <w:rsid w:val="1DA879DC"/>
    <w:rsid w:val="1F2E5389"/>
    <w:rsid w:val="1FF31C17"/>
    <w:rsid w:val="20973A40"/>
    <w:rsid w:val="22D15777"/>
    <w:rsid w:val="23B5373C"/>
    <w:rsid w:val="258A3213"/>
    <w:rsid w:val="26471A55"/>
    <w:rsid w:val="26E72F44"/>
    <w:rsid w:val="27577990"/>
    <w:rsid w:val="29F87BC7"/>
    <w:rsid w:val="2A4244D0"/>
    <w:rsid w:val="2BAB2950"/>
    <w:rsid w:val="2C052642"/>
    <w:rsid w:val="2C8132A3"/>
    <w:rsid w:val="2F8440A0"/>
    <w:rsid w:val="30911C01"/>
    <w:rsid w:val="334F3ABE"/>
    <w:rsid w:val="33A14BEB"/>
    <w:rsid w:val="344E6F33"/>
    <w:rsid w:val="34DA78BA"/>
    <w:rsid w:val="360E70BC"/>
    <w:rsid w:val="36C721FA"/>
    <w:rsid w:val="37BE1ED6"/>
    <w:rsid w:val="382A74CA"/>
    <w:rsid w:val="39A1161F"/>
    <w:rsid w:val="39B01DD3"/>
    <w:rsid w:val="3D507339"/>
    <w:rsid w:val="3E793A2C"/>
    <w:rsid w:val="3FDA7614"/>
    <w:rsid w:val="41197AF6"/>
    <w:rsid w:val="43F64B13"/>
    <w:rsid w:val="45894172"/>
    <w:rsid w:val="467F42EA"/>
    <w:rsid w:val="474D6B6F"/>
    <w:rsid w:val="49B45367"/>
    <w:rsid w:val="4AC77297"/>
    <w:rsid w:val="4C362F70"/>
    <w:rsid w:val="4CC51F58"/>
    <w:rsid w:val="4E47138F"/>
    <w:rsid w:val="4EAD5C7D"/>
    <w:rsid w:val="4EF62CEB"/>
    <w:rsid w:val="4FBF0AEE"/>
    <w:rsid w:val="4FD11651"/>
    <w:rsid w:val="51621816"/>
    <w:rsid w:val="52AD2C84"/>
    <w:rsid w:val="57D93056"/>
    <w:rsid w:val="595C4554"/>
    <w:rsid w:val="5AF659CE"/>
    <w:rsid w:val="5B2F18D4"/>
    <w:rsid w:val="5B306E69"/>
    <w:rsid w:val="5FF67CDE"/>
    <w:rsid w:val="6173459B"/>
    <w:rsid w:val="618903D4"/>
    <w:rsid w:val="61A61369"/>
    <w:rsid w:val="623C3DDC"/>
    <w:rsid w:val="62DA73E0"/>
    <w:rsid w:val="635B1429"/>
    <w:rsid w:val="64846822"/>
    <w:rsid w:val="65B80B90"/>
    <w:rsid w:val="6646288C"/>
    <w:rsid w:val="66986DA4"/>
    <w:rsid w:val="66A60189"/>
    <w:rsid w:val="67D75400"/>
    <w:rsid w:val="67D82F7A"/>
    <w:rsid w:val="68CE5130"/>
    <w:rsid w:val="6D143DB3"/>
    <w:rsid w:val="6F683770"/>
    <w:rsid w:val="701B0036"/>
    <w:rsid w:val="70AE3508"/>
    <w:rsid w:val="70C06FC4"/>
    <w:rsid w:val="724235DE"/>
    <w:rsid w:val="73F4012A"/>
    <w:rsid w:val="742D6047"/>
    <w:rsid w:val="75320B02"/>
    <w:rsid w:val="75ED38BA"/>
    <w:rsid w:val="76E7440D"/>
    <w:rsid w:val="77C9065C"/>
    <w:rsid w:val="7A895418"/>
    <w:rsid w:val="7C506F07"/>
    <w:rsid w:val="7E336FAC"/>
    <w:rsid w:val="7E8B53EF"/>
    <w:rsid w:val="7F613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line="360" w:lineRule="auto"/>
      <w:ind w:firstLine="600" w:firstLineChars="200"/>
      <w:jc w:val="both"/>
    </w:pPr>
    <w:rPr>
      <w:rFonts w:ascii="Times New Roman" w:hAnsi="Times New Roman" w:eastAsia="仿宋_GB2312" w:cs="Times New Roman"/>
      <w:kern w:val="44"/>
      <w:sz w:val="30"/>
      <w:szCs w:val="24"/>
      <w:lang w:val="zh-CN" w:eastAsia="zh-CN" w:bidi="ar-SA"/>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974</Words>
  <Characters>5552</Characters>
  <Lines>46</Lines>
  <Paragraphs>13</Paragraphs>
  <TotalTime>0</TotalTime>
  <ScaleCrop>false</ScaleCrop>
  <LinksUpToDate>false</LinksUpToDate>
  <CharactersWithSpaces>6513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wishingstar</cp:lastModifiedBy>
  <cp:lastPrinted>2023-02-08T01:53:00Z</cp:lastPrinted>
  <dcterms:modified xsi:type="dcterms:W3CDTF">2024-09-20T03:15:16Z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39D0C5551C9147FC9D7B47076E47C0F1</vt:lpwstr>
  </property>
</Properties>
</file>