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淮北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市住房公积金管理中心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6.5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6.84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val="en-US"/>
              </w:rPr>
              <w:t>3.0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val="en-US"/>
              </w:rPr>
              <w:t>3.34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val="en-US"/>
              </w:rPr>
              <w:t>3.5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val="en-US"/>
              </w:rPr>
              <w:t>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val="en-US" w:eastAsia="zh-CN"/>
        </w:rPr>
        <w:t>住房公积金管理中心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default" w:ascii="仿宋_GB2312" w:hAnsi="仿宋"/>
          <w:szCs w:val="32"/>
          <w:lang w:val="en-US"/>
        </w:rPr>
        <w:t>6.5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default" w:ascii="仿宋_GB2312" w:hAnsi="仿宋"/>
          <w:szCs w:val="32"/>
          <w:lang w:val="en-US"/>
        </w:rPr>
        <w:t>6.84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default" w:ascii="仿宋_GB2312" w:hAnsi="仿宋"/>
          <w:szCs w:val="32"/>
          <w:lang w:val="en-US"/>
        </w:rPr>
        <w:t>105.23</w:t>
      </w:r>
      <w:r>
        <w:rPr>
          <w:rFonts w:hint="eastAsia" w:ascii="仿宋_GB2312" w:hAnsi="仿宋"/>
          <w:szCs w:val="32"/>
        </w:rPr>
        <w:t>%，决算数大于预算数的主要原因是</w:t>
      </w:r>
      <w:r>
        <w:rPr>
          <w:rFonts w:hint="eastAsia" w:ascii="仿宋_GB2312" w:hAnsi="仿宋"/>
          <w:szCs w:val="32"/>
          <w:lang w:val="en-US" w:eastAsia="zh-CN"/>
        </w:rPr>
        <w:t>新增招商引资招待支出0.56万元</w:t>
      </w:r>
      <w:r>
        <w:rPr>
          <w:rFonts w:hint="eastAsia" w:ascii="仿宋_GB2312" w:hAnsi="仿宋"/>
          <w:szCs w:val="32"/>
        </w:rPr>
        <w:t>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val="en-US" w:eastAsia="zh-CN"/>
        </w:rPr>
        <w:t>住房公积金管理中心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default" w:ascii="仿宋_GB2312" w:hAnsi="仿宋"/>
          <w:szCs w:val="32"/>
          <w:lang w:val="en-US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default" w:ascii="仿宋_GB2312" w:hAnsi="仿宋"/>
          <w:szCs w:val="32"/>
          <w:lang w:val="en-US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default" w:ascii="仿宋_GB2312" w:hAnsi="仿宋"/>
          <w:szCs w:val="32"/>
          <w:lang w:val="en-US"/>
        </w:rPr>
        <w:t>3.34</w:t>
      </w:r>
      <w:r>
        <w:rPr>
          <w:rFonts w:hint="eastAsia" w:ascii="仿宋_GB2312" w:hAnsi="仿宋"/>
          <w:szCs w:val="32"/>
        </w:rPr>
        <w:t>万元，占</w:t>
      </w:r>
      <w:r>
        <w:rPr>
          <w:rFonts w:hint="default" w:ascii="仿宋_GB2312" w:hAnsi="仿宋"/>
          <w:szCs w:val="32"/>
          <w:lang w:val="en-US"/>
        </w:rPr>
        <w:t>48.83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default" w:ascii="仿宋_GB2312" w:hAnsi="仿宋"/>
          <w:szCs w:val="32"/>
          <w:lang w:val="en-US"/>
        </w:rPr>
        <w:t>3.5</w:t>
      </w:r>
      <w:r>
        <w:rPr>
          <w:rFonts w:hint="eastAsia" w:ascii="仿宋_GB2312" w:hAnsi="仿宋"/>
          <w:szCs w:val="32"/>
        </w:rPr>
        <w:t>万元，占</w:t>
      </w:r>
      <w:r>
        <w:rPr>
          <w:rFonts w:hint="default" w:ascii="仿宋_GB2312" w:hAnsi="仿宋"/>
          <w:szCs w:val="32"/>
          <w:lang w:val="en-US"/>
        </w:rPr>
        <w:t>51.17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default" w:ascii="仿宋_GB2312" w:hAnsi="仿宋"/>
          <w:b/>
          <w:bCs/>
          <w:szCs w:val="32"/>
          <w:lang w:val="en-US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</w:t>
      </w:r>
      <w:r>
        <w:rPr>
          <w:rFonts w:hint="eastAsia" w:ascii="仿宋_GB2312" w:hAnsi="仿宋"/>
          <w:szCs w:val="32"/>
          <w:lang w:eastAsia="zh-CN"/>
        </w:rPr>
        <w:t>一致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</w:t>
      </w:r>
      <w:r>
        <w:rPr>
          <w:rFonts w:hint="eastAsia" w:ascii="仿宋_GB2312" w:hAnsi="仿宋"/>
          <w:szCs w:val="32"/>
          <w:lang w:val="en-US" w:eastAsia="zh-CN"/>
        </w:rPr>
        <w:t>住房公积金管理中心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default" w:ascii="仿宋_GB2312" w:hAnsi="仿宋"/>
          <w:szCs w:val="32"/>
          <w:lang w:val="en-US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default" w:ascii="仿宋_GB2312" w:hAnsi="仿宋"/>
          <w:szCs w:val="32"/>
          <w:lang w:val="en-US"/>
        </w:rPr>
        <w:t>0</w:t>
      </w:r>
      <w:r>
        <w:rPr>
          <w:rFonts w:hint="eastAsia" w:ascii="仿宋_GB2312" w:hAnsi="仿宋"/>
          <w:szCs w:val="32"/>
        </w:rPr>
        <w:t>人次。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default" w:ascii="仿宋_GB2312" w:hAnsi="仿宋"/>
          <w:b/>
          <w:bCs/>
          <w:szCs w:val="32"/>
          <w:lang w:val="en-US"/>
        </w:rPr>
        <w:t>3.34</w:t>
      </w:r>
      <w:r>
        <w:rPr>
          <w:rFonts w:hint="eastAsia" w:ascii="仿宋_GB2312" w:hAnsi="仿宋"/>
          <w:szCs w:val="32"/>
        </w:rPr>
        <w:t>万元, 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年度预算相比，增加</w:t>
      </w:r>
      <w:r>
        <w:rPr>
          <w:rFonts w:hint="default" w:ascii="仿宋_GB2312" w:hAnsi="仿宋"/>
          <w:szCs w:val="32"/>
          <w:lang w:val="en-US"/>
        </w:rPr>
        <w:t>0.34</w:t>
      </w:r>
      <w:r>
        <w:rPr>
          <w:rFonts w:hint="eastAsia" w:ascii="仿宋_GB2312" w:hAnsi="仿宋"/>
          <w:szCs w:val="32"/>
        </w:rPr>
        <w:t>万元，增长</w:t>
      </w:r>
      <w:r>
        <w:rPr>
          <w:rFonts w:hint="default" w:ascii="仿宋_GB2312" w:hAnsi="仿宋"/>
          <w:szCs w:val="32"/>
          <w:lang w:val="en-US"/>
        </w:rPr>
        <w:t>11.33</w:t>
      </w:r>
      <w:r>
        <w:rPr>
          <w:rFonts w:hint="eastAsia" w:ascii="仿宋_GB2312" w:hAnsi="仿宋"/>
          <w:szCs w:val="32"/>
        </w:rPr>
        <w:t>%，增长的原因是</w:t>
      </w:r>
      <w:r>
        <w:rPr>
          <w:rFonts w:hint="eastAsia" w:ascii="仿宋_GB2312" w:hAnsi="仿宋"/>
          <w:szCs w:val="32"/>
          <w:lang w:val="en-US" w:eastAsia="zh-CN"/>
        </w:rPr>
        <w:t>新增招商引资公务接待费支出0.56万元。</w:t>
      </w:r>
      <w:r>
        <w:rPr>
          <w:rFonts w:hint="eastAsia" w:ascii="仿宋_GB2312" w:hAnsi="仿宋"/>
          <w:szCs w:val="32"/>
          <w:highlight w:val="none"/>
        </w:rPr>
        <w:t>202</w:t>
      </w:r>
      <w:r>
        <w:rPr>
          <w:rFonts w:hint="eastAsia" w:ascii="仿宋_GB2312" w:hAnsi="仿宋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/>
          <w:szCs w:val="32"/>
          <w:highlight w:val="none"/>
        </w:rPr>
        <w:t>年淮北市</w:t>
      </w:r>
      <w:r>
        <w:rPr>
          <w:rFonts w:hint="eastAsia" w:ascii="仿宋_GB2312" w:hAnsi="仿宋"/>
          <w:szCs w:val="32"/>
          <w:highlight w:val="none"/>
          <w:lang w:val="en-US" w:eastAsia="zh-CN"/>
        </w:rPr>
        <w:t>住房公积金管理中心</w:t>
      </w:r>
      <w:r>
        <w:rPr>
          <w:rFonts w:hint="eastAsia" w:ascii="仿宋_GB2312" w:hAnsi="仿宋"/>
          <w:szCs w:val="32"/>
          <w:highlight w:val="none"/>
        </w:rPr>
        <w:t>国内公务接待共</w:t>
      </w:r>
      <w:r>
        <w:rPr>
          <w:rFonts w:hint="eastAsia" w:ascii="仿宋_GB2312" w:hAnsi="仿宋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"/>
          <w:szCs w:val="32"/>
          <w:highlight w:val="none"/>
        </w:rPr>
        <w:t>批次（其中外事接待</w:t>
      </w:r>
      <w:r>
        <w:rPr>
          <w:rFonts w:hint="default" w:ascii="仿宋_GB2312" w:hAnsi="仿宋"/>
          <w:szCs w:val="32"/>
          <w:highlight w:val="none"/>
          <w:lang w:val="en-US"/>
        </w:rPr>
        <w:t>0</w:t>
      </w:r>
      <w:r>
        <w:rPr>
          <w:rFonts w:hint="eastAsia" w:ascii="仿宋_GB2312" w:hAnsi="仿宋"/>
          <w:szCs w:val="32"/>
          <w:highlight w:val="none"/>
        </w:rPr>
        <w:t>批次），</w:t>
      </w:r>
      <w:r>
        <w:rPr>
          <w:rFonts w:hint="eastAsia" w:ascii="仿宋_GB2312" w:hAnsi="仿宋"/>
          <w:szCs w:val="32"/>
          <w:highlight w:val="none"/>
          <w:lang w:val="en-US" w:eastAsia="zh-CN"/>
        </w:rPr>
        <w:t>190</w:t>
      </w:r>
      <w:r>
        <w:rPr>
          <w:rFonts w:hint="eastAsia" w:ascii="仿宋_GB2312" w:hAnsi="仿宋"/>
          <w:szCs w:val="32"/>
          <w:highlight w:val="none"/>
        </w:rPr>
        <w:t>人次（其中外事接待</w:t>
      </w:r>
      <w:r>
        <w:rPr>
          <w:rFonts w:hint="default" w:ascii="仿宋_GB2312" w:hAnsi="仿宋"/>
          <w:szCs w:val="32"/>
          <w:highlight w:val="none"/>
          <w:lang w:val="en-US"/>
        </w:rPr>
        <w:t>0</w:t>
      </w:r>
      <w:r>
        <w:rPr>
          <w:rFonts w:hint="eastAsia" w:ascii="仿宋_GB2312" w:hAnsi="仿宋"/>
          <w:szCs w:val="32"/>
          <w:highlight w:val="none"/>
        </w:rPr>
        <w:t>人次）。主要是</w:t>
      </w:r>
      <w:r>
        <w:rPr>
          <w:rFonts w:hint="eastAsia" w:ascii="仿宋_GB2312" w:hAnsi="仿宋"/>
          <w:szCs w:val="32"/>
        </w:rPr>
        <w:t>用于</w:t>
      </w:r>
      <w:r>
        <w:rPr>
          <w:rFonts w:hint="eastAsia" w:ascii="仿宋_GB2312" w:hAnsi="仿宋"/>
          <w:szCs w:val="32"/>
          <w:lang w:eastAsia="zh-CN"/>
        </w:rPr>
        <w:t>外</w:t>
      </w:r>
      <w:r>
        <w:rPr>
          <w:rFonts w:hint="eastAsia" w:ascii="仿宋_GB2312" w:hAnsi="仿宋"/>
          <w:szCs w:val="32"/>
          <w:highlight w:val="none"/>
          <w:lang w:eastAsia="zh-CN"/>
        </w:rPr>
        <w:t>中心考察学习、招商等</w:t>
      </w:r>
      <w:r>
        <w:rPr>
          <w:rFonts w:hint="eastAsia" w:ascii="仿宋_GB2312" w:hAnsi="仿宋"/>
          <w:szCs w:val="32"/>
          <w:highlight w:val="none"/>
        </w:rPr>
        <w:t>。</w:t>
      </w:r>
      <w:r>
        <w:rPr>
          <w:rFonts w:hint="eastAsia" w:ascii="仿宋_GB2312" w:hAnsi="仿宋"/>
          <w:szCs w:val="32"/>
        </w:rPr>
        <w:t>经费使用严格贯彻</w:t>
      </w:r>
      <w:bookmarkStart w:id="0" w:name="_GoBack"/>
      <w:bookmarkEnd w:id="0"/>
      <w:r>
        <w:rPr>
          <w:rFonts w:hint="eastAsia" w:ascii="仿宋_GB2312" w:hAnsi="仿宋"/>
          <w:szCs w:val="32"/>
        </w:rPr>
        <w:t>中央八项规定要求，严格执行《党政机关厉行节约反对浪费条例》、淮北市公务接待相关规定等。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default" w:ascii="仿宋_GB2312" w:hAnsi="仿宋"/>
          <w:b/>
          <w:bCs/>
          <w:szCs w:val="32"/>
          <w:lang w:val="en-US"/>
        </w:rPr>
        <w:t>3.5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</w:t>
      </w:r>
      <w:r>
        <w:rPr>
          <w:rFonts w:hint="eastAsia" w:ascii="仿宋_GB2312" w:hAnsi="仿宋"/>
          <w:szCs w:val="32"/>
          <w:lang w:eastAsia="zh-CN"/>
        </w:rPr>
        <w:t>一致</w:t>
      </w:r>
      <w:r>
        <w:rPr>
          <w:rFonts w:hint="eastAsia" w:ascii="仿宋_GB2312" w:hAnsi="仿宋"/>
          <w:szCs w:val="32"/>
        </w:rPr>
        <w:t>。其中，公务用车购置费</w:t>
      </w:r>
      <w:r>
        <w:rPr>
          <w:rFonts w:hint="default" w:ascii="仿宋_GB2312" w:hAnsi="仿宋"/>
          <w:szCs w:val="32"/>
          <w:lang w:val="en-US"/>
        </w:rPr>
        <w:t>0</w:t>
      </w:r>
      <w:r>
        <w:rPr>
          <w:rFonts w:hint="eastAsia" w:ascii="仿宋_GB2312" w:hAnsi="仿宋"/>
          <w:szCs w:val="32"/>
        </w:rPr>
        <w:t>万元，</w:t>
      </w:r>
      <w:r>
        <w:rPr>
          <w:rFonts w:hint="eastAsia" w:ascii="仿宋_GB2312" w:hAnsi="仿宋"/>
          <w:szCs w:val="32"/>
          <w:lang w:val="en-US" w:eastAsia="zh-CN"/>
        </w:rPr>
        <w:t>2021年，未安排公务用车购置费</w:t>
      </w:r>
      <w:r>
        <w:rPr>
          <w:rFonts w:hint="eastAsia" w:ascii="仿宋_GB2312" w:hAnsi="仿宋"/>
          <w:szCs w:val="32"/>
          <w:lang w:eastAsia="zh-CN"/>
        </w:rPr>
        <w:t>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default" w:ascii="仿宋_GB2312" w:hAnsi="仿宋"/>
          <w:szCs w:val="32"/>
          <w:lang w:val="en-US"/>
        </w:rPr>
        <w:t>3.5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</w:t>
      </w:r>
      <w:r>
        <w:rPr>
          <w:rFonts w:hint="eastAsia" w:ascii="仿宋_GB2312" w:hAnsi="仿宋"/>
          <w:szCs w:val="32"/>
          <w:lang w:eastAsia="zh-CN"/>
        </w:rPr>
        <w:t>一</w:t>
      </w:r>
      <w:r>
        <w:rPr>
          <w:rFonts w:hint="eastAsia" w:ascii="仿宋_GB2312" w:hAnsi="仿宋"/>
          <w:szCs w:val="32"/>
          <w:highlight w:val="none"/>
          <w:lang w:eastAsia="zh-CN"/>
        </w:rPr>
        <w:t>致</w:t>
      </w:r>
      <w:r>
        <w:rPr>
          <w:rFonts w:hint="eastAsia" w:ascii="仿宋_GB2312" w:hAnsi="仿宋"/>
          <w:szCs w:val="32"/>
          <w:highlight w:val="none"/>
        </w:rPr>
        <w:t>。</w:t>
      </w:r>
      <w:r>
        <w:rPr>
          <w:rFonts w:hint="eastAsia" w:ascii="仿宋_GB2312" w:hAnsi="仿宋"/>
          <w:szCs w:val="32"/>
        </w:rPr>
        <w:t>公务用车运行维护费，包括车辆燃料费、维修费、过路过桥费、保险费等支出，主要用于</w:t>
      </w:r>
      <w:r>
        <w:rPr>
          <w:rFonts w:hint="eastAsia" w:ascii="仿宋_GB2312" w:hAnsi="仿宋"/>
          <w:szCs w:val="32"/>
          <w:lang w:eastAsia="zh-CN"/>
        </w:rPr>
        <w:t>车辆燃料、维护、保险等费用</w:t>
      </w:r>
      <w:r>
        <w:rPr>
          <w:rFonts w:hint="eastAsia" w:ascii="仿宋_GB2312" w:hAnsi="仿宋"/>
          <w:szCs w:val="32"/>
        </w:rPr>
        <w:t>。截至202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年12月31日，淮北市</w:t>
      </w:r>
      <w:r>
        <w:rPr>
          <w:rFonts w:hint="eastAsia" w:ascii="仿宋_GB2312" w:hAnsi="仿宋"/>
          <w:szCs w:val="32"/>
          <w:lang w:val="en-US" w:eastAsia="zh-CN"/>
        </w:rPr>
        <w:t>住房公积金管理中心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default" w:ascii="仿宋_GB2312" w:hAnsi="仿宋"/>
          <w:szCs w:val="32"/>
          <w:lang w:val="en-US"/>
        </w:rPr>
        <w:t>1</w:t>
      </w:r>
      <w:r>
        <w:rPr>
          <w:rFonts w:hint="eastAsia" w:ascii="仿宋_GB2312" w:hAnsi="仿宋"/>
          <w:szCs w:val="32"/>
        </w:rPr>
        <w:t>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OTMyYzkwOGFhNjY2ZTJlOWY5NjQ4ZDE1M2E0NGE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03CA48AA"/>
    <w:rsid w:val="0DD65766"/>
    <w:rsid w:val="0F5F5B40"/>
    <w:rsid w:val="14263C4A"/>
    <w:rsid w:val="18242EF9"/>
    <w:rsid w:val="19086522"/>
    <w:rsid w:val="212512C2"/>
    <w:rsid w:val="39F46439"/>
    <w:rsid w:val="39FE5BF8"/>
    <w:rsid w:val="59EE1E8B"/>
    <w:rsid w:val="5D634175"/>
    <w:rsid w:val="62FA06E3"/>
    <w:rsid w:val="63D803AE"/>
    <w:rsid w:val="6EE10285"/>
    <w:rsid w:val="7A79587E"/>
    <w:rsid w:val="7C5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973</Words>
  <Characters>1070</Characters>
  <Lines>8</Lines>
  <Paragraphs>2</Paragraphs>
  <TotalTime>28</TotalTime>
  <ScaleCrop>false</ScaleCrop>
  <LinksUpToDate>false</LinksUpToDate>
  <CharactersWithSpaces>1148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NTKO</cp:lastModifiedBy>
  <cp:lastPrinted>2020-09-14T08:17:00Z</cp:lastPrinted>
  <dcterms:modified xsi:type="dcterms:W3CDTF">2023-02-08T01:43:18Z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95B7D7A6868D44358BC8FEE951F652F5</vt:lpwstr>
  </property>
</Properties>
</file>