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rPr>
          <w:rFonts w:hint="eastAsia"/>
          <w:w w:val="60"/>
          <w:sz w:val="120"/>
          <w:szCs w:val="120"/>
        </w:rPr>
      </w:pPr>
    </w:p>
    <w:p>
      <w:pPr>
        <w:jc w:val="center"/>
        <w:rPr>
          <w:rFonts w:hint="eastAsia" w:ascii="方正小标宋简体" w:eastAsia="方正小标宋简体"/>
          <w:color w:val="FF0000"/>
          <w:w w:val="53"/>
          <w:sz w:val="120"/>
          <w:szCs w:val="120"/>
        </w:rPr>
      </w:pPr>
      <w:r>
        <w:rPr>
          <w:rFonts w:hint="eastAsia" w:ascii="方正小标宋简体" w:eastAsia="方正小标宋简体"/>
          <w:color w:val="FF0000"/>
          <w:w w:val="53"/>
          <w:sz w:val="120"/>
          <w:szCs w:val="120"/>
        </w:rPr>
        <w:t>淮北市住房公积金管理中心文件</w:t>
      </w:r>
    </w:p>
    <w:p>
      <w:pPr>
        <w:spacing w:line="580" w:lineRule="exact"/>
        <w:rPr>
          <w:rFonts w:hint="eastAsia"/>
        </w:rPr>
      </w:pPr>
    </w:p>
    <w:p>
      <w:pPr>
        <w:tabs>
          <w:tab w:val="left" w:pos="5460"/>
        </w:tabs>
        <w:spacing w:line="500" w:lineRule="exact"/>
        <w:jc w:val="both"/>
        <w:rPr>
          <w:rFonts w:hint="default" w:ascii="仿宋" w:hAnsi="仿宋" w:eastAsia="仿宋"/>
          <w:szCs w:val="32"/>
          <w:lang w:val="en-US" w:eastAsia="zh-CN"/>
        </w:rPr>
      </w:pPr>
      <w:r>
        <w:rPr>
          <w:rFonts w:hint="eastAsia" w:ascii="仿宋" w:hAnsi="仿宋" w:eastAsia="仿宋"/>
          <w:szCs w:val="32"/>
        </w:rPr>
        <w:t>淮房金〔202</w:t>
      </w:r>
      <w:r>
        <w:rPr>
          <w:rFonts w:hint="eastAsia" w:ascii="仿宋" w:hAnsi="仿宋" w:eastAsia="仿宋"/>
          <w:szCs w:val="32"/>
          <w:lang w:val="en-US" w:eastAsia="zh-CN"/>
        </w:rPr>
        <w:t>4</w:t>
      </w:r>
      <w:r>
        <w:rPr>
          <w:rFonts w:hint="eastAsia" w:ascii="仿宋" w:hAnsi="仿宋" w:eastAsia="仿宋"/>
          <w:szCs w:val="32"/>
        </w:rPr>
        <w:t>〕</w:t>
      </w:r>
      <w:r>
        <w:rPr>
          <w:rFonts w:hint="eastAsia" w:ascii="仿宋" w:hAnsi="仿宋" w:eastAsia="仿宋"/>
          <w:szCs w:val="32"/>
          <w:lang w:val="en-US" w:eastAsia="zh-CN"/>
        </w:rPr>
        <w:t>3</w:t>
      </w:r>
      <w:r>
        <w:rPr>
          <w:rFonts w:hint="eastAsia" w:ascii="仿宋" w:hAnsi="仿宋" w:eastAsia="仿宋"/>
          <w:szCs w:val="32"/>
        </w:rPr>
        <w:t>号</w:t>
      </w:r>
      <w:r>
        <w:rPr>
          <w:rFonts w:hint="eastAsia" w:ascii="仿宋" w:hAnsi="仿宋" w:eastAsia="仿宋"/>
          <w:szCs w:val="32"/>
          <w:lang w:val="en-US" w:eastAsia="zh-CN"/>
        </w:rPr>
        <w:t xml:space="preserve">                       签发人：王亚辉</w:t>
      </w:r>
    </w:p>
    <w:p>
      <w:pPr>
        <w:spacing w:line="580" w:lineRule="exact"/>
        <w:rPr>
          <w:rFonts w:hint="eastAsia" w:ascii="宋体" w:hAnsi="宋体" w:eastAsia="宋体" w:cs="宋体"/>
          <w:b/>
          <w:bCs/>
          <w:sz w:val="44"/>
          <w:szCs w:val="44"/>
          <w:lang w:val="en-US" w:eastAsia="zh-CN"/>
        </w:rPr>
      </w:pPr>
      <w:r>
        <w:rPr>
          <w:rFonts w:hint="eastAsia" w:eastAsia="仿宋_GB2312"/>
        </w:rPr>
        <mc:AlternateContent>
          <mc:Choice Requires="wps">
            <w:drawing>
              <wp:anchor distT="0" distB="0" distL="114300" distR="114300" simplePos="0" relativeHeight="251659264" behindDoc="0" locked="0" layoutInCell="1" allowOverlap="1">
                <wp:simplePos x="0" y="0"/>
                <wp:positionH relativeFrom="column">
                  <wp:posOffset>-1270</wp:posOffset>
                </wp:positionH>
                <wp:positionV relativeFrom="paragraph">
                  <wp:posOffset>274320</wp:posOffset>
                </wp:positionV>
                <wp:extent cx="5622290" cy="1270"/>
                <wp:effectExtent l="0" t="10795" r="16510" b="16510"/>
                <wp:wrapNone/>
                <wp:docPr id="1" name="直接连接符 1"/>
                <wp:cNvGraphicFramePr/>
                <a:graphic xmlns:a="http://schemas.openxmlformats.org/drawingml/2006/main">
                  <a:graphicData uri="http://schemas.microsoft.com/office/word/2010/wordprocessingShape">
                    <wps:wsp>
                      <wps:cNvCnPr/>
                      <wps:spPr>
                        <a:xfrm>
                          <a:off x="0" y="0"/>
                          <a:ext cx="5622290" cy="1270"/>
                        </a:xfrm>
                        <a:prstGeom prst="line">
                          <a:avLst/>
                        </a:prstGeom>
                        <a:ln w="22225"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1pt;margin-top:21.6pt;height:0.1pt;width:442.7pt;z-index:251659264;mso-width-relative:page;mso-height-relative:page;" filled="f" stroked="t" coordsize="21600,21600" o:gfxdata="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nByeM1gAAAAcBAAAPAAAAAAAAAAEAIAAAACIAAABkcnMvZG93bnJldi54bWxQ&#10;SwECFAAUAAAACACHTuJACKbU5vkBAADoAwAADgAAAAAAAAABACAAAAAlAQAAZHJzL2Uyb0RvYy54&#10;bWxQSwUGAAAAAAYABgBZAQAAkAUAAAAA&#10;">
                <v:fill on="f" focussize="0,0"/>
                <v:stroke weight="1.75pt" color="#FF0000" joinstyle="round"/>
                <v:imagedata o:title=""/>
                <o:lock v:ext="edit" aspectratio="f"/>
              </v:line>
            </w:pict>
          </mc:Fallback>
        </mc:AlternateContent>
      </w:r>
    </w:p>
    <w:p>
      <w:pPr>
        <w:jc w:val="center"/>
        <w:rPr>
          <w:rFonts w:hint="eastAsia" w:ascii="宋体" w:hAnsi="宋体" w:eastAsia="宋体" w:cs="宋体"/>
          <w:b/>
          <w:bCs/>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44"/>
          <w:szCs w:val="44"/>
          <w:lang w:eastAsia="zh-CN"/>
        </w:rPr>
      </w:pPr>
      <w:r>
        <w:rPr>
          <w:rFonts w:hint="eastAsia" w:ascii="宋体" w:hAnsi="宋体" w:eastAsia="宋体" w:cs="宋体"/>
          <w:b/>
          <w:bCs/>
          <w:sz w:val="44"/>
          <w:szCs w:val="44"/>
        </w:rPr>
        <w:t>淮北市住房公积金管理中心202</w:t>
      </w:r>
      <w:r>
        <w:rPr>
          <w:rFonts w:hint="eastAsia" w:ascii="宋体" w:hAnsi="宋体" w:eastAsia="宋体" w:cs="宋体"/>
          <w:b/>
          <w:bCs/>
          <w:sz w:val="44"/>
          <w:szCs w:val="44"/>
          <w:lang w:val="en-US" w:eastAsia="zh-CN"/>
        </w:rPr>
        <w:t>3</w:t>
      </w:r>
      <w:r>
        <w:rPr>
          <w:rFonts w:hint="eastAsia" w:ascii="宋体" w:hAnsi="宋体" w:eastAsia="宋体" w:cs="宋体"/>
          <w:b/>
          <w:bCs/>
          <w:sz w:val="44"/>
          <w:szCs w:val="44"/>
          <w:lang w:eastAsia="zh-CN"/>
        </w:rPr>
        <w:t>年</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44"/>
          <w:szCs w:val="44"/>
          <w:lang w:eastAsia="zh-CN"/>
        </w:rPr>
      </w:pPr>
      <w:r>
        <w:rPr>
          <w:rFonts w:hint="eastAsia" w:ascii="宋体" w:hAnsi="宋体" w:eastAsia="宋体" w:cs="宋体"/>
          <w:b/>
          <w:bCs/>
          <w:sz w:val="44"/>
          <w:szCs w:val="44"/>
          <w:lang w:eastAsia="zh-CN"/>
        </w:rPr>
        <w:t>法治政府建设</w:t>
      </w:r>
      <w:r>
        <w:rPr>
          <w:rFonts w:hint="eastAsia" w:ascii="宋体" w:hAnsi="宋体" w:eastAsia="宋体" w:cs="宋体"/>
          <w:b/>
          <w:bCs/>
          <w:sz w:val="44"/>
          <w:szCs w:val="44"/>
          <w:lang w:val="en-US" w:eastAsia="zh-CN"/>
        </w:rPr>
        <w:t>情况</w:t>
      </w:r>
      <w:r>
        <w:rPr>
          <w:rFonts w:hint="eastAsia" w:ascii="宋体" w:hAnsi="宋体" w:eastAsia="宋体" w:cs="宋体"/>
          <w:b/>
          <w:bCs/>
          <w:sz w:val="44"/>
          <w:szCs w:val="44"/>
          <w:lang w:eastAsia="zh-CN"/>
        </w:rPr>
        <w:t>的报告</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市委、市政府：</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2023年</w:t>
      </w:r>
      <w:r>
        <w:rPr>
          <w:rFonts w:hint="eastAsia" w:ascii="仿宋" w:hAnsi="仿宋" w:eastAsia="仿宋" w:cs="仿宋"/>
          <w:sz w:val="32"/>
          <w:szCs w:val="32"/>
        </w:rPr>
        <w:t>,</w:t>
      </w:r>
      <w:r>
        <w:rPr>
          <w:rFonts w:hint="eastAsia" w:ascii="仿宋" w:hAnsi="仿宋" w:eastAsia="仿宋" w:cs="仿宋"/>
          <w:sz w:val="32"/>
          <w:szCs w:val="32"/>
          <w:lang w:val="en-US" w:eastAsia="zh-CN"/>
        </w:rPr>
        <w:t>在市委、市政府领导下，</w:t>
      </w:r>
      <w:r>
        <w:rPr>
          <w:rFonts w:hint="eastAsia" w:ascii="仿宋" w:hAnsi="仿宋" w:eastAsia="仿宋" w:cs="仿宋"/>
          <w:sz w:val="32"/>
          <w:szCs w:val="32"/>
          <w:lang w:eastAsia="zh-CN"/>
        </w:rPr>
        <w:t>市住房公积金管理中心始终</w:t>
      </w:r>
      <w:r>
        <w:rPr>
          <w:rFonts w:hint="eastAsia" w:ascii="仿宋" w:hAnsi="仿宋" w:eastAsia="仿宋" w:cs="仿宋"/>
          <w:sz w:val="32"/>
          <w:szCs w:val="32"/>
        </w:rPr>
        <w:t>坚持以习近平新时代中国特色社会主义思想为指导，</w:t>
      </w:r>
      <w:r>
        <w:rPr>
          <w:rFonts w:hint="eastAsia" w:ascii="仿宋" w:hAnsi="仿宋" w:eastAsia="仿宋" w:cs="仿宋"/>
          <w:sz w:val="32"/>
          <w:szCs w:val="32"/>
          <w:lang w:eastAsia="zh-CN"/>
        </w:rPr>
        <w:t>全面贯彻落实党的二十大精神，深入学习习近平法治思想，认真</w:t>
      </w:r>
      <w:r>
        <w:rPr>
          <w:rFonts w:hint="eastAsia" w:ascii="仿宋" w:hAnsi="仿宋" w:eastAsia="仿宋" w:cs="仿宋"/>
          <w:sz w:val="32"/>
          <w:szCs w:val="32"/>
        </w:rPr>
        <w:t>贯彻落实党中央和省市关于法治建设的重大决策部署</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结合公积金实际，</w:t>
      </w:r>
      <w:r>
        <w:rPr>
          <w:rFonts w:hint="eastAsia" w:ascii="仿宋" w:hAnsi="仿宋" w:eastAsia="仿宋" w:cs="仿宋"/>
          <w:sz w:val="32"/>
          <w:szCs w:val="32"/>
        </w:rPr>
        <w:t>较好的完成</w:t>
      </w:r>
      <w:r>
        <w:rPr>
          <w:rFonts w:hint="eastAsia" w:ascii="仿宋" w:hAnsi="仿宋" w:eastAsia="仿宋" w:cs="仿宋"/>
          <w:sz w:val="32"/>
          <w:szCs w:val="32"/>
          <w:lang w:eastAsia="zh-CN"/>
        </w:rPr>
        <w:t>法治政府建设工作</w:t>
      </w:r>
      <w:r>
        <w:rPr>
          <w:rFonts w:hint="eastAsia" w:ascii="仿宋" w:hAnsi="仿宋" w:eastAsia="仿宋" w:cs="仿宋"/>
          <w:sz w:val="32"/>
          <w:szCs w:val="32"/>
        </w:rPr>
        <w:t>推进任务</w:t>
      </w:r>
      <w:r>
        <w:rPr>
          <w:rFonts w:hint="eastAsia" w:ascii="仿宋" w:hAnsi="仿宋" w:eastAsia="仿宋" w:cs="仿宋"/>
          <w:sz w:val="32"/>
          <w:szCs w:val="32"/>
          <w:lang w:eastAsia="zh-CN"/>
        </w:rPr>
        <w:t>，现将</w:t>
      </w:r>
      <w:r>
        <w:rPr>
          <w:rFonts w:hint="eastAsia" w:ascii="仿宋" w:hAnsi="仿宋" w:eastAsia="仿宋" w:cs="仿宋"/>
          <w:sz w:val="32"/>
          <w:szCs w:val="32"/>
          <w:lang w:val="en-US" w:eastAsia="zh-CN"/>
        </w:rPr>
        <w:t>2023年法治政府建设年度工作开展情况汇报如下：</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32" w:firstLineChars="200"/>
        <w:jc w:val="left"/>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2023年度法治政府建设</w:t>
      </w:r>
      <w:r>
        <w:rPr>
          <w:rFonts w:hint="eastAsia" w:ascii="黑体" w:hAnsi="黑体" w:eastAsia="黑体" w:cs="黑体"/>
          <w:sz w:val="32"/>
          <w:szCs w:val="32"/>
          <w:lang w:eastAsia="zh-CN"/>
        </w:rPr>
        <w:t>工作开展情况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2" w:firstLineChars="200"/>
        <w:jc w:val="left"/>
        <w:textAlignment w:val="auto"/>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eastAsia="zh-CN"/>
        </w:rPr>
        <w:t>（一）深入学习贯彻习近平法治思想</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32" w:firstLineChars="200"/>
        <w:textAlignment w:val="auto"/>
        <w:rPr>
          <w:rFonts w:hint="eastAsia" w:ascii="仿宋" w:hAnsi="仿宋" w:eastAsia="仿宋" w:cs="仿宋"/>
          <w:sz w:val="32"/>
          <w:szCs w:val="32"/>
        </w:rPr>
      </w:pPr>
      <w:r>
        <w:rPr>
          <w:rFonts w:hint="eastAsia" w:ascii="仿宋" w:hAnsi="仿宋" w:eastAsia="仿宋" w:cs="仿宋"/>
          <w:b/>
          <w:bCs/>
          <w:sz w:val="32"/>
          <w:szCs w:val="32"/>
        </w:rPr>
        <w:t>深入学习</w:t>
      </w:r>
      <w:r>
        <w:rPr>
          <w:rFonts w:hint="eastAsia" w:ascii="仿宋" w:hAnsi="仿宋" w:eastAsia="仿宋" w:cs="仿宋"/>
          <w:b/>
          <w:bCs/>
          <w:sz w:val="32"/>
          <w:szCs w:val="32"/>
          <w:lang w:eastAsia="zh-CN"/>
        </w:rPr>
        <w:t>宣传贯彻</w:t>
      </w:r>
      <w:r>
        <w:rPr>
          <w:rFonts w:hint="eastAsia" w:ascii="仿宋" w:hAnsi="仿宋" w:eastAsia="仿宋" w:cs="仿宋"/>
          <w:b/>
          <w:bCs/>
          <w:sz w:val="32"/>
          <w:szCs w:val="32"/>
        </w:rPr>
        <w:t>，推动法治建设落地落实</w:t>
      </w:r>
      <w:r>
        <w:rPr>
          <w:rFonts w:hint="eastAsia" w:ascii="仿宋" w:hAnsi="仿宋" w:eastAsia="仿宋" w:cs="仿宋"/>
          <w:sz w:val="32"/>
          <w:szCs w:val="32"/>
        </w:rPr>
        <w:t>。</w:t>
      </w:r>
      <w:r>
        <w:rPr>
          <w:rFonts w:hint="eastAsia" w:ascii="仿宋" w:hAnsi="仿宋" w:eastAsia="仿宋" w:cs="仿宋"/>
          <w:sz w:val="32"/>
          <w:szCs w:val="32"/>
          <w:lang w:eastAsia="zh-CN"/>
        </w:rPr>
        <w:t>中心</w:t>
      </w:r>
      <w:r>
        <w:rPr>
          <w:rFonts w:hint="eastAsia" w:ascii="仿宋" w:hAnsi="仿宋" w:eastAsia="仿宋" w:cs="仿宋"/>
          <w:sz w:val="32"/>
          <w:szCs w:val="32"/>
        </w:rPr>
        <w:t>十分重视法治建设工作，年初研究制定党组学习计划，重点学习习近平法治思想。</w:t>
      </w:r>
      <w:r>
        <w:rPr>
          <w:rFonts w:hint="eastAsia" w:ascii="仿宋" w:hAnsi="仿宋" w:eastAsia="仿宋" w:cs="仿宋"/>
          <w:sz w:val="32"/>
          <w:szCs w:val="32"/>
          <w:lang w:eastAsia="zh-CN"/>
        </w:rPr>
        <w:t>中心组开展学习</w:t>
      </w:r>
      <w:r>
        <w:rPr>
          <w:rFonts w:hint="eastAsia" w:ascii="仿宋" w:hAnsi="仿宋" w:eastAsia="仿宋" w:cs="仿宋"/>
          <w:sz w:val="32"/>
          <w:szCs w:val="32"/>
        </w:rPr>
        <w:t>习近平法治思想专题学习会，</w:t>
      </w:r>
      <w:r>
        <w:rPr>
          <w:rFonts w:hint="eastAsia" w:ascii="仿宋" w:hAnsi="仿宋" w:eastAsia="仿宋" w:cs="仿宋"/>
          <w:sz w:val="32"/>
          <w:szCs w:val="32"/>
          <w:lang w:eastAsia="zh-CN"/>
        </w:rPr>
        <w:t>党组书记上法治课，带领</w:t>
      </w:r>
      <w:r>
        <w:rPr>
          <w:rFonts w:hint="eastAsia" w:ascii="仿宋" w:hAnsi="仿宋" w:eastAsia="仿宋" w:cs="仿宋"/>
          <w:sz w:val="32"/>
          <w:szCs w:val="32"/>
        </w:rPr>
        <w:t>全体职工</w:t>
      </w:r>
      <w:r>
        <w:rPr>
          <w:rFonts w:hint="eastAsia" w:ascii="仿宋" w:hAnsi="仿宋" w:eastAsia="仿宋" w:cs="仿宋"/>
          <w:sz w:val="32"/>
          <w:szCs w:val="32"/>
          <w:lang w:eastAsia="zh-CN"/>
        </w:rPr>
        <w:t>共同学习</w:t>
      </w:r>
      <w:r>
        <w:rPr>
          <w:rFonts w:hint="eastAsia" w:ascii="仿宋" w:hAnsi="仿宋" w:eastAsia="仿宋" w:cs="仿宋"/>
          <w:sz w:val="32"/>
          <w:szCs w:val="32"/>
        </w:rPr>
        <w:t>习近平法治思想。</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b/>
          <w:bCs/>
          <w:sz w:val="32"/>
          <w:szCs w:val="32"/>
        </w:rPr>
        <w:t>强化组织领导，落实法治建设第一责任人职责。</w:t>
      </w:r>
      <w:r>
        <w:rPr>
          <w:rFonts w:hint="eastAsia" w:ascii="仿宋" w:hAnsi="仿宋" w:eastAsia="仿宋" w:cs="仿宋"/>
          <w:b w:val="0"/>
          <w:bCs w:val="0"/>
          <w:sz w:val="32"/>
          <w:szCs w:val="32"/>
          <w:lang w:eastAsia="zh-CN"/>
        </w:rPr>
        <w:t>中心</w:t>
      </w:r>
      <w:r>
        <w:rPr>
          <w:rFonts w:hint="eastAsia" w:ascii="仿宋" w:hAnsi="仿宋" w:eastAsia="仿宋" w:cs="仿宋"/>
          <w:sz w:val="32"/>
          <w:szCs w:val="32"/>
        </w:rPr>
        <w:t>高度重视</w:t>
      </w:r>
      <w:r>
        <w:rPr>
          <w:rFonts w:hint="eastAsia" w:ascii="仿宋" w:hAnsi="仿宋" w:eastAsia="仿宋" w:cs="仿宋"/>
          <w:sz w:val="32"/>
          <w:szCs w:val="32"/>
          <w:lang w:eastAsia="zh-CN"/>
        </w:rPr>
        <w:t>法治建设</w:t>
      </w:r>
      <w:r>
        <w:rPr>
          <w:rFonts w:hint="eastAsia" w:ascii="仿宋" w:hAnsi="仿宋" w:eastAsia="仿宋" w:cs="仿宋"/>
          <w:sz w:val="32"/>
          <w:szCs w:val="32"/>
        </w:rPr>
        <w:t>工作，根据</w:t>
      </w:r>
      <w:r>
        <w:rPr>
          <w:rFonts w:hint="eastAsia" w:ascii="仿宋" w:hAnsi="仿宋" w:eastAsia="仿宋" w:cs="仿宋"/>
          <w:sz w:val="32"/>
          <w:szCs w:val="32"/>
          <w:lang w:eastAsia="zh-CN"/>
        </w:rPr>
        <w:t>市法宣办《关于印发</w:t>
      </w:r>
      <w:r>
        <w:rPr>
          <w:rFonts w:hint="eastAsia" w:ascii="仿宋" w:hAnsi="仿宋" w:eastAsia="仿宋" w:cs="仿宋"/>
          <w:sz w:val="32"/>
          <w:szCs w:val="32"/>
          <w:lang w:val="en-US" w:eastAsia="zh-CN"/>
        </w:rPr>
        <w:t>2023年全市普法依法治理工作要点</w:t>
      </w:r>
      <w:r>
        <w:rPr>
          <w:rFonts w:hint="eastAsia" w:ascii="仿宋" w:hAnsi="仿宋" w:eastAsia="仿宋" w:cs="仿宋"/>
          <w:sz w:val="32"/>
          <w:szCs w:val="32"/>
          <w:lang w:eastAsia="zh-CN"/>
        </w:rPr>
        <w:t>》和《淮北市</w:t>
      </w:r>
      <w:r>
        <w:rPr>
          <w:rFonts w:hint="eastAsia" w:ascii="仿宋" w:hAnsi="仿宋" w:eastAsia="仿宋" w:cs="仿宋"/>
          <w:sz w:val="32"/>
          <w:szCs w:val="32"/>
          <w:lang w:val="en-US" w:eastAsia="zh-CN"/>
        </w:rPr>
        <w:t>2023年度重点普法目录</w:t>
      </w:r>
      <w:r>
        <w:rPr>
          <w:rFonts w:hint="eastAsia" w:ascii="仿宋" w:hAnsi="仿宋" w:eastAsia="仿宋" w:cs="仿宋"/>
          <w:sz w:val="32"/>
          <w:szCs w:val="32"/>
          <w:lang w:eastAsia="zh-CN"/>
        </w:rPr>
        <w:t>》的</w:t>
      </w:r>
      <w:r>
        <w:rPr>
          <w:rFonts w:hint="eastAsia" w:ascii="仿宋" w:hAnsi="仿宋" w:eastAsia="仿宋" w:cs="仿宋"/>
          <w:sz w:val="32"/>
          <w:szCs w:val="32"/>
        </w:rPr>
        <w:t>要求，扎实谋划部署，对中心年度</w:t>
      </w:r>
      <w:r>
        <w:rPr>
          <w:rFonts w:hint="eastAsia" w:ascii="仿宋" w:hAnsi="仿宋" w:eastAsia="仿宋" w:cs="仿宋"/>
          <w:sz w:val="32"/>
          <w:szCs w:val="32"/>
          <w:lang w:eastAsia="zh-CN"/>
        </w:rPr>
        <w:t>法治建设</w:t>
      </w:r>
      <w:r>
        <w:rPr>
          <w:rFonts w:hint="eastAsia" w:ascii="仿宋" w:hAnsi="仿宋" w:eastAsia="仿宋" w:cs="仿宋"/>
          <w:sz w:val="32"/>
          <w:szCs w:val="32"/>
        </w:rPr>
        <w:t>工作提出新要求，作出新部署，</w:t>
      </w:r>
      <w:r>
        <w:rPr>
          <w:rFonts w:hint="eastAsia" w:ascii="仿宋" w:hAnsi="仿宋" w:eastAsia="仿宋" w:cs="仿宋"/>
          <w:sz w:val="32"/>
          <w:szCs w:val="32"/>
          <w:lang w:eastAsia="zh-CN"/>
        </w:rPr>
        <w:t>由内审稽核科牵头，结合中心工作实际，制定《淮北市住房公积金</w:t>
      </w:r>
      <w:r>
        <w:rPr>
          <w:rFonts w:hint="eastAsia" w:ascii="仿宋" w:hAnsi="仿宋" w:eastAsia="仿宋" w:cs="仿宋"/>
          <w:sz w:val="32"/>
          <w:szCs w:val="32"/>
          <w:lang w:val="en-US" w:eastAsia="zh-CN"/>
        </w:rPr>
        <w:t>2023年度普法责任清单</w:t>
      </w:r>
      <w:r>
        <w:rPr>
          <w:rFonts w:hint="eastAsia" w:ascii="仿宋" w:hAnsi="仿宋" w:eastAsia="仿宋" w:cs="仿宋"/>
          <w:sz w:val="32"/>
          <w:szCs w:val="32"/>
          <w:lang w:eastAsia="zh-CN"/>
        </w:rPr>
        <w:t>》和《领导干部应知应会法律法规清单》，并</w:t>
      </w:r>
      <w:r>
        <w:rPr>
          <w:rFonts w:hint="eastAsia" w:ascii="仿宋" w:hAnsi="仿宋" w:eastAsia="仿宋" w:cs="仿宋"/>
          <w:sz w:val="32"/>
          <w:szCs w:val="32"/>
        </w:rPr>
        <w:t>将</w:t>
      </w:r>
      <w:r>
        <w:rPr>
          <w:rFonts w:hint="eastAsia" w:ascii="仿宋" w:hAnsi="仿宋" w:eastAsia="仿宋" w:cs="仿宋"/>
          <w:sz w:val="32"/>
          <w:szCs w:val="32"/>
          <w:lang w:eastAsia="zh-CN"/>
        </w:rPr>
        <w:t>法治建设</w:t>
      </w:r>
      <w:r>
        <w:rPr>
          <w:rFonts w:hint="eastAsia" w:ascii="仿宋" w:hAnsi="仿宋" w:eastAsia="仿宋" w:cs="仿宋"/>
          <w:sz w:val="32"/>
          <w:szCs w:val="32"/>
        </w:rPr>
        <w:t>工作情况纳入中心年度目标责任制考核，作为评先评优的重要依据</w:t>
      </w:r>
      <w:r>
        <w:rPr>
          <w:rFonts w:hint="eastAsia" w:ascii="仿宋" w:hAnsi="仿宋" w:eastAsia="仿宋" w:cs="仿宋"/>
          <w:sz w:val="32"/>
          <w:szCs w:val="32"/>
          <w:lang w:eastAsia="zh-CN"/>
        </w:rPr>
        <w:t>，</w:t>
      </w:r>
      <w:r>
        <w:rPr>
          <w:rFonts w:hint="eastAsia" w:ascii="仿宋" w:hAnsi="仿宋" w:eastAsia="仿宋" w:cs="仿宋"/>
          <w:sz w:val="32"/>
          <w:szCs w:val="32"/>
        </w:rPr>
        <w:t>为推进法治政府建设提供坚强的组织保障。</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eastAsia" w:ascii="仿宋" w:hAnsi="仿宋" w:eastAsia="仿宋" w:cs="仿宋"/>
          <w:b/>
          <w:bCs/>
          <w:sz w:val="32"/>
          <w:szCs w:val="32"/>
        </w:rPr>
      </w:pPr>
      <w:r>
        <w:rPr>
          <w:rFonts w:hint="eastAsia" w:ascii="仿宋" w:hAnsi="仿宋" w:eastAsia="仿宋" w:cs="仿宋"/>
          <w:sz w:val="32"/>
          <w:szCs w:val="32"/>
          <w:lang w:val="en-US" w:eastAsia="zh-CN"/>
        </w:rPr>
        <w:t>3、</w:t>
      </w:r>
      <w:r>
        <w:rPr>
          <w:rFonts w:hint="eastAsia" w:ascii="仿宋" w:hAnsi="仿宋" w:eastAsia="仿宋" w:cs="仿宋"/>
          <w:b/>
          <w:bCs/>
          <w:sz w:val="32"/>
          <w:szCs w:val="32"/>
          <w:lang w:eastAsia="zh-CN"/>
        </w:rPr>
        <w:t>认真开展普法宣传活动</w:t>
      </w:r>
      <w:r>
        <w:rPr>
          <w:rFonts w:hint="eastAsia" w:ascii="仿宋" w:hAnsi="仿宋" w:eastAsia="仿宋" w:cs="仿宋"/>
          <w:b/>
          <w:bCs/>
          <w:sz w:val="32"/>
          <w:szCs w:val="32"/>
        </w:rPr>
        <w:t>。</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lang w:val="en-US" w:eastAsia="zh-CN"/>
        </w:rPr>
        <w:t>1</w:t>
      </w:r>
      <w:r>
        <w:rPr>
          <w:rFonts w:hint="eastAsia" w:ascii="仿宋" w:hAnsi="仿宋" w:eastAsia="仿宋" w:cs="仿宋"/>
          <w:b w:val="0"/>
          <w:bCs w:val="0"/>
          <w:sz w:val="32"/>
          <w:szCs w:val="32"/>
          <w:lang w:eastAsia="zh-CN"/>
        </w:rPr>
        <w:t>）为推进弘扬爱国拥军的光荣传统，切实把党和国家对退役军人的关心落到实处，结合开展“惠民公积金、服务暖人心”住房公积金系统服务提升三年行动，濉溪县管理部赴濉溪县退役军人事务局开展走访，了解退役军人需求，倾听意见，面对面普法宣讲住房公积金相关政策，实现公积金服务“零距离”。</w:t>
      </w:r>
    </w:p>
    <w:p>
      <w:pPr>
        <w:pStyle w:val="4"/>
        <w:keepNext w:val="0"/>
        <w:keepLines w:val="0"/>
        <w:pageBreakBefore w:val="0"/>
        <w:tabs>
          <w:tab w:val="left" w:pos="0"/>
        </w:tabs>
        <w:kinsoku/>
        <w:wordWrap/>
        <w:overflowPunct/>
        <w:topLinePunct w:val="0"/>
        <w:autoSpaceDE/>
        <w:autoSpaceDN/>
        <w:bidi w:val="0"/>
        <w:adjustRightInd/>
        <w:snapToGrid/>
        <w:spacing w:line="560" w:lineRule="exact"/>
        <w:ind w:left="0" w:leftChars="0" w:firstLine="414" w:firstLineChars="131"/>
        <w:jc w:val="left"/>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lang w:val="en-US" w:eastAsia="zh-CN"/>
        </w:rPr>
        <w:t>2</w:t>
      </w:r>
      <w:r>
        <w:rPr>
          <w:rFonts w:hint="eastAsia" w:ascii="仿宋" w:hAnsi="仿宋" w:eastAsia="仿宋" w:cs="仿宋"/>
          <w:b w:val="0"/>
          <w:bCs w:val="0"/>
          <w:sz w:val="32"/>
          <w:szCs w:val="32"/>
          <w:lang w:eastAsia="zh-CN"/>
        </w:rPr>
        <w:t>）为持续深化“一改两为”工作要求，推动“惠民公积金，服务暖人心”三年提升行动做深做实，3月14日上午，市公积金中心深入开发区企业迦美集团走访调研，宣传普法，协调帮助企业解决当前遇到公积金贷款困难和问题。</w:t>
      </w:r>
    </w:p>
    <w:p>
      <w:pPr>
        <w:pStyle w:val="4"/>
        <w:keepNext w:val="0"/>
        <w:keepLines w:val="0"/>
        <w:pageBreakBefore w:val="0"/>
        <w:tabs>
          <w:tab w:val="left" w:pos="0"/>
        </w:tabs>
        <w:kinsoku/>
        <w:wordWrap/>
        <w:overflowPunct/>
        <w:topLinePunct w:val="0"/>
        <w:autoSpaceDE/>
        <w:autoSpaceDN/>
        <w:bidi w:val="0"/>
        <w:adjustRightInd/>
        <w:snapToGrid/>
        <w:spacing w:line="560" w:lineRule="exact"/>
        <w:ind w:left="0" w:leftChars="0" w:firstLine="414" w:firstLineChars="131"/>
        <w:jc w:val="left"/>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3）在学雷锋活动月期间，市公积金中心党员志愿者们到丁楼社区参加学雷锋志愿服务活动。活动现场，志愿者们为社区居民发放居民义诊手册、《中华人民共和国家庭教育促进法》、《中华人民共和国反家庭暴力法》及新市民住房公积金办事指南等宣传册，开展健康义诊、现场普及相关法律法规及住房公积金政策，将服务送至居民的家门口，真正做到便民利民为民。</w:t>
      </w:r>
    </w:p>
    <w:p>
      <w:pPr>
        <w:pStyle w:val="5"/>
        <w:keepNext w:val="0"/>
        <w:keepLines w:val="0"/>
        <w:pageBreakBefore w:val="0"/>
        <w:widowControl/>
        <w:suppressLineNumbers w:val="0"/>
        <w:kinsoku/>
        <w:wordWrap/>
        <w:overflowPunct/>
        <w:topLinePunct w:val="0"/>
        <w:autoSpaceDE/>
        <w:autoSpaceDN/>
        <w:bidi w:val="0"/>
        <w:adjustRightInd/>
        <w:snapToGrid/>
        <w:spacing w:before="226" w:beforeAutospacing="0" w:after="226" w:afterAutospacing="0" w:line="560" w:lineRule="exact"/>
        <w:ind w:left="0" w:right="0" w:firstLine="420"/>
        <w:jc w:val="both"/>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4）在“三八”维权月活动期间，中心妇联深入社区宣传《中华人民共和国妇女权益保障法》、《中华人民共和国反家庭暴力法》等法律法规。活动现场巾帼志愿者们向居民发放宣传材料，面对面讲解《中华人民共和国妇女权益保障法》、《中华人民共和国反家庭暴力法》实施的意义，围绕妇女政治权利、文化教育权益、人身权益和婚姻家庭权益等多方面</w:t>
      </w:r>
      <w:bookmarkStart w:id="0" w:name="_GoBack"/>
      <w:bookmarkEnd w:id="0"/>
      <w:r>
        <w:rPr>
          <w:rFonts w:hint="eastAsia" w:ascii="仿宋" w:hAnsi="仿宋" w:eastAsia="仿宋" w:cs="仿宋"/>
          <w:b w:val="0"/>
          <w:bCs w:val="0"/>
          <w:kern w:val="2"/>
          <w:sz w:val="32"/>
          <w:szCs w:val="32"/>
          <w:lang w:val="en-US" w:eastAsia="zh-CN" w:bidi="ar-SA"/>
        </w:rPr>
        <w:t>进行宣传介绍，强调妇女的人格尊严不受侵犯，引导广大妇女群众尊法、学法、守法、用法。</w:t>
      </w:r>
    </w:p>
    <w:p>
      <w:pPr>
        <w:pStyle w:val="5"/>
        <w:keepNext w:val="0"/>
        <w:keepLines w:val="0"/>
        <w:pageBreakBefore w:val="0"/>
        <w:widowControl/>
        <w:suppressLineNumbers w:val="0"/>
        <w:kinsoku/>
        <w:wordWrap/>
        <w:overflowPunct/>
        <w:topLinePunct w:val="0"/>
        <w:autoSpaceDE/>
        <w:autoSpaceDN/>
        <w:bidi w:val="0"/>
        <w:adjustRightInd/>
        <w:snapToGrid/>
        <w:spacing w:before="226" w:beforeAutospacing="0" w:after="226" w:afterAutospacing="0" w:line="560" w:lineRule="exact"/>
        <w:ind w:left="0" w:right="0" w:firstLine="42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lang w:val="en-US" w:eastAsia="zh-CN"/>
        </w:rPr>
        <w:t>5</w:t>
      </w:r>
      <w:r>
        <w:rPr>
          <w:rFonts w:hint="eastAsia" w:ascii="仿宋" w:hAnsi="仿宋" w:eastAsia="仿宋" w:cs="仿宋"/>
          <w:b w:val="0"/>
          <w:bCs w:val="0"/>
          <w:sz w:val="32"/>
          <w:szCs w:val="32"/>
          <w:lang w:eastAsia="zh-CN"/>
        </w:rPr>
        <w:t>）在</w:t>
      </w:r>
      <w:r>
        <w:rPr>
          <w:rFonts w:hint="eastAsia" w:ascii="仿宋" w:hAnsi="仿宋" w:eastAsia="仿宋" w:cs="仿宋"/>
          <w:b w:val="0"/>
          <w:bCs w:val="0"/>
          <w:sz w:val="32"/>
          <w:szCs w:val="32"/>
          <w:lang w:val="en-US" w:eastAsia="zh-CN"/>
        </w:rPr>
        <w:t>全民国家安全宣传教育周期间，中心利用市中心、县管理部两个大厅大屏滚动播放国家安全宣传教育片；在机关宣传栏、市中心大厅、濉溪县管理部大厅张贴“4.15”全民国家安全教育日官方宣传海报；组织中心党员前往翰林社区开展全民国家安全宣传教育活动；组织中心全体职工集中观看《</w:t>
      </w:r>
      <w:r>
        <w:rPr>
          <w:rFonts w:hint="eastAsia" w:ascii="仿宋" w:hAnsi="仿宋" w:eastAsia="仿宋" w:cs="仿宋"/>
          <w:b w:val="0"/>
          <w:bCs w:val="0"/>
          <w:caps w:val="0"/>
          <w:color w:val="000000"/>
          <w:spacing w:val="0"/>
          <w:sz w:val="32"/>
          <w:szCs w:val="32"/>
          <w:shd w:val="clear" w:color="auto" w:fill="FFFFFF"/>
        </w:rPr>
        <w:t>护航之道——总体国家安全观纵横</w:t>
      </w:r>
      <w:r>
        <w:rPr>
          <w:rFonts w:hint="eastAsia" w:ascii="仿宋" w:hAnsi="仿宋" w:eastAsia="仿宋" w:cs="仿宋"/>
          <w:b w:val="0"/>
          <w:bCs w:val="0"/>
          <w:sz w:val="32"/>
          <w:szCs w:val="32"/>
          <w:lang w:val="en-US" w:eastAsia="zh-CN"/>
        </w:rPr>
        <w:t>》专题片。</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left"/>
        <w:textAlignment w:val="auto"/>
        <w:rPr>
          <w:rFonts w:hint="eastAsia" w:ascii="仿宋" w:hAnsi="仿宋" w:eastAsia="仿宋" w:cs="仿宋"/>
          <w:b/>
          <w:bCs/>
          <w:sz w:val="32"/>
          <w:szCs w:val="32"/>
          <w:lang w:val="en-US" w:eastAsia="zh-CN"/>
        </w:rPr>
      </w:pPr>
      <w:r>
        <w:rPr>
          <w:rFonts w:hint="eastAsia" w:ascii="仿宋" w:hAnsi="仿宋" w:eastAsia="仿宋" w:cs="仿宋"/>
          <w:b w:val="0"/>
          <w:bCs w:val="0"/>
          <w:sz w:val="32"/>
          <w:szCs w:val="32"/>
          <w:lang w:val="en-US" w:eastAsia="zh-CN"/>
        </w:rPr>
        <w:t>（6）在民法典宣传教育月期间，中心</w:t>
      </w:r>
      <w:r>
        <w:rPr>
          <w:rFonts w:hint="eastAsia" w:ascii="仿宋" w:hAnsi="仿宋" w:eastAsia="仿宋" w:cs="仿宋"/>
          <w:sz w:val="32"/>
          <w:szCs w:val="32"/>
          <w:lang w:eastAsia="zh-CN"/>
        </w:rPr>
        <w:t>把民法典宣传宣传作为深化学习贯彻习近平新时代中国特色社会主义思想主题教育的有力抓手，一是利用中心周五固定学习时间，在全体职工范围内开展民法典专题学习；</w:t>
      </w:r>
      <w:r>
        <w:rPr>
          <w:rFonts w:hint="eastAsia" w:ascii="仿宋" w:hAnsi="仿宋" w:eastAsia="仿宋" w:cs="仿宋"/>
          <w:b/>
          <w:bCs/>
          <w:kern w:val="2"/>
          <w:sz w:val="32"/>
          <w:szCs w:val="32"/>
          <w:lang w:val="en-US" w:eastAsia="zh-CN" w:bidi="ar-SA"/>
        </w:rPr>
        <w:t>二是</w:t>
      </w:r>
      <w:r>
        <w:rPr>
          <w:rFonts w:hint="eastAsia" w:ascii="仿宋" w:hAnsi="仿宋" w:eastAsia="仿宋" w:cs="仿宋"/>
          <w:b w:val="0"/>
          <w:bCs w:val="0"/>
          <w:sz w:val="32"/>
          <w:szCs w:val="32"/>
          <w:lang w:val="en-US" w:eastAsia="zh-CN"/>
        </w:rPr>
        <w:t>中心在市中心大厅、濉溪县大厅电子屏滚动展播民法典宣传图片和视频，让前来办事的职工能在等待的同时了解民法典的基本内容；三是组织中心党员干部前往结对共建社区开展民法典及公积金政策法规宣传活动，群众参与积极，取得良好的宣传效果。</w:t>
      </w:r>
    </w:p>
    <w:p>
      <w:pPr>
        <w:pStyle w:val="4"/>
        <w:keepNext w:val="0"/>
        <w:keepLines w:val="0"/>
        <w:pageBreakBefore w:val="0"/>
        <w:numPr>
          <w:ilvl w:val="0"/>
          <w:numId w:val="0"/>
        </w:numPr>
        <w:kinsoku/>
        <w:wordWrap/>
        <w:overflowPunct/>
        <w:topLinePunct w:val="0"/>
        <w:autoSpaceDE/>
        <w:autoSpaceDN/>
        <w:bidi w:val="0"/>
        <w:adjustRightInd/>
        <w:snapToGrid/>
        <w:spacing w:line="560" w:lineRule="exact"/>
        <w:ind w:leftChars="1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（二）积极推进“放管服”改革、优化法治营商环境</w:t>
      </w:r>
    </w:p>
    <w:p>
      <w:pPr>
        <w:pStyle w:val="9"/>
        <w:keepNext w:val="0"/>
        <w:keepLines w:val="0"/>
        <w:pageBreakBefore w:val="0"/>
        <w:numPr>
          <w:ilvl w:val="0"/>
          <w:numId w:val="0"/>
        </w:numPr>
        <w:kinsoku/>
        <w:wordWrap/>
        <w:overflowPunct/>
        <w:topLinePunct w:val="0"/>
        <w:autoSpaceDE/>
        <w:autoSpaceDN/>
        <w:bidi w:val="0"/>
        <w:adjustRightInd/>
        <w:snapToGrid/>
        <w:spacing w:line="560" w:lineRule="exact"/>
        <w:ind w:firstLine="632"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市公积金中心坚持以习近平新时代中国特色社会主义思想为指导，认真学习贯彻《2023年淮北市营商环境政务服务领域专项治理行动实施方案》，统筹推进优化营商环境工作常态化，为缴存企业和缴存职工提供优质服务。</w:t>
      </w:r>
    </w:p>
    <w:p>
      <w:pPr>
        <w:pStyle w:val="9"/>
        <w:keepNext w:val="0"/>
        <w:keepLines w:val="0"/>
        <w:pageBreakBefore w:val="0"/>
        <w:numPr>
          <w:ilvl w:val="0"/>
          <w:numId w:val="0"/>
        </w:numPr>
        <w:kinsoku/>
        <w:wordWrap/>
        <w:overflowPunct/>
        <w:topLinePunct w:val="0"/>
        <w:autoSpaceDE/>
        <w:autoSpaceDN/>
        <w:bidi w:val="0"/>
        <w:adjustRightInd/>
        <w:snapToGrid/>
        <w:spacing w:line="560" w:lineRule="exact"/>
        <w:ind w:firstLine="632"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中心印发了《住房公积金归集、提取、贷款业务操作细则》等相关标准，安排专人对政务服务网、皖事通APP及中心网站、大厅窗口等渠道对办事指南要素进行检查、更新，确保信息精准清晰，各渠道数据同源，准确无误。</w:t>
      </w:r>
    </w:p>
    <w:p>
      <w:pPr>
        <w:pStyle w:val="9"/>
        <w:keepNext w:val="0"/>
        <w:keepLines w:val="0"/>
        <w:pageBreakBefore w:val="0"/>
        <w:numPr>
          <w:ilvl w:val="0"/>
          <w:numId w:val="0"/>
        </w:numPr>
        <w:kinsoku/>
        <w:wordWrap/>
        <w:overflowPunct/>
        <w:topLinePunct w:val="0"/>
        <w:autoSpaceDE/>
        <w:autoSpaceDN/>
        <w:bidi w:val="0"/>
        <w:adjustRightInd/>
        <w:snapToGrid/>
        <w:spacing w:line="560" w:lineRule="exact"/>
        <w:ind w:firstLine="632"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中心强化办事大厅服务规范，分类制作了办事指南、便民告示等宣传资料，公开办理程序、申请条件、办理时限等，确保办事指南要素与实际办理一致，方便群众办事。不断优化办事流程，优化减少办事材料，推进“一门”“一窗”式服务全覆盖，严格执行首问责任制、一次性告知制、限时办结制、延时服务制等制度。</w:t>
      </w:r>
    </w:p>
    <w:p>
      <w:pPr>
        <w:pStyle w:val="9"/>
        <w:keepNext w:val="0"/>
        <w:keepLines w:val="0"/>
        <w:pageBreakBefore w:val="0"/>
        <w:numPr>
          <w:ilvl w:val="0"/>
          <w:numId w:val="0"/>
        </w:numPr>
        <w:kinsoku/>
        <w:wordWrap/>
        <w:overflowPunct/>
        <w:topLinePunct w:val="0"/>
        <w:autoSpaceDE/>
        <w:autoSpaceDN/>
        <w:bidi w:val="0"/>
        <w:adjustRightInd/>
        <w:snapToGrid/>
        <w:spacing w:line="560" w:lineRule="exact"/>
        <w:ind w:firstLine="632"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办事大厅启用的叫号系统让办事群众井然有序，实行了窗口前移服务，将窗口的服务从柜台内向柜台外延伸，安排专人做好职工群众来访及各类咨询接待工作，实行上门服务、预约服务，全面推进政务服务“好差评”。不断深化信息化建设，提升信息化服务水平，结合“互联网+政务服务”及共享大数据，实现“跨省通办”所有服务事项，线上办理公积金业务基本实现“网上办”“指尖办”。窗口工作人员牢固树立“温馨、便捷、安全、高效”的服务宗旨，持续提高服务质量、提升服务效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2" w:firstLineChars="200"/>
        <w:jc w:val="both"/>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（三）依法制定规范性文件，强化依法履行职能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2" w:firstLineChars="200"/>
        <w:jc w:val="both"/>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始终把贯彻落实习近平法治思想作为指导，依法制定公积金相关制度和文件。2023年，制定《淮北市灵活就业人员个人缴存及使用住房公积金暂行办法》、《淮北市重大疾病提取使用住房公积金管理办法》、《淮北市关于实施“绿色建筑”公积金贷款支持政策的通知》</w:t>
      </w:r>
      <w:r>
        <w:rPr>
          <w:rFonts w:hint="eastAsia" w:ascii="仿宋" w:hAnsi="仿宋" w:eastAsia="仿宋" w:cs="仿宋"/>
          <w:b w:val="0"/>
          <w:bCs w:val="0"/>
          <w:sz w:val="32"/>
          <w:szCs w:val="32"/>
          <w:highlight w:val="none"/>
          <w:lang w:val="en-US" w:eastAsia="zh-CN"/>
        </w:rPr>
        <w:t>等政策性文件</w:t>
      </w:r>
      <w:r>
        <w:rPr>
          <w:rFonts w:hint="eastAsia" w:ascii="仿宋" w:hAnsi="仿宋" w:eastAsia="仿宋" w:cs="仿宋"/>
          <w:b w:val="0"/>
          <w:bCs w:val="0"/>
          <w:sz w:val="32"/>
          <w:szCs w:val="32"/>
          <w:lang w:val="en-US" w:eastAsia="zh-CN"/>
        </w:rPr>
        <w:t>。在确保新制定文件规范性的同时，组织人员对已印发文件的合法性、规范性进行审查，确保每一份文件规范合法有效。</w:t>
      </w:r>
    </w:p>
    <w:p>
      <w:pPr>
        <w:pStyle w:val="9"/>
        <w:keepNext w:val="0"/>
        <w:keepLines w:val="0"/>
        <w:pageBreakBefore w:val="0"/>
        <w:numPr>
          <w:ilvl w:val="0"/>
          <w:numId w:val="0"/>
        </w:numPr>
        <w:kinsoku/>
        <w:wordWrap/>
        <w:overflowPunct/>
        <w:topLinePunct w:val="0"/>
        <w:autoSpaceDE/>
        <w:autoSpaceDN/>
        <w:bidi w:val="0"/>
        <w:adjustRightInd/>
        <w:snapToGrid/>
        <w:spacing w:line="560" w:lineRule="exact"/>
        <w:ind w:firstLine="632" w:firstLineChars="200"/>
        <w:textAlignment w:val="auto"/>
        <w:rPr>
          <w:rFonts w:hint="eastAsia" w:ascii="仿宋" w:hAnsi="仿宋" w:eastAsia="仿宋" w:cs="仿宋"/>
          <w:b w:val="0"/>
          <w:bCs w:val="0"/>
          <w:sz w:val="32"/>
          <w:szCs w:val="32"/>
          <w:lang w:val="en-US" w:eastAsia="zh-CN"/>
        </w:rPr>
      </w:pPr>
    </w:p>
    <w:p>
      <w:pPr>
        <w:pStyle w:val="4"/>
        <w:keepNext w:val="0"/>
        <w:keepLines w:val="0"/>
        <w:pageBreakBefore w:val="0"/>
        <w:numPr>
          <w:ilvl w:val="0"/>
          <w:numId w:val="0"/>
        </w:numPr>
        <w:kinsoku/>
        <w:wordWrap/>
        <w:overflowPunct/>
        <w:topLinePunct w:val="0"/>
        <w:autoSpaceDE/>
        <w:autoSpaceDN/>
        <w:bidi w:val="0"/>
        <w:adjustRightInd/>
        <w:snapToGrid/>
        <w:spacing w:line="560" w:lineRule="exact"/>
        <w:ind w:leftChars="200" w:firstLine="316" w:firstLineChars="1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二、存在的问题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2"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（一）法治宣传教育形式和内容单一。</w:t>
      </w:r>
      <w:r>
        <w:rPr>
          <w:rFonts w:hint="eastAsia" w:ascii="仿宋" w:hAnsi="仿宋" w:eastAsia="仿宋" w:cs="仿宋"/>
          <w:sz w:val="32"/>
          <w:szCs w:val="32"/>
          <w:lang w:val="en-US" w:eastAsia="zh-CN"/>
        </w:rPr>
        <w:t>宣传教育大多以会议和学习的形式开展，缺乏鲜活性和现实针对性，存在灌输式教育多，服务式教育少的问题。并且</w:t>
      </w:r>
      <w:r>
        <w:rPr>
          <w:rFonts w:hint="eastAsia" w:ascii="仿宋" w:hAnsi="仿宋" w:eastAsia="仿宋" w:cs="仿宋"/>
          <w:b w:val="0"/>
          <w:bCs w:val="0"/>
          <w:sz w:val="32"/>
          <w:szCs w:val="32"/>
          <w:lang w:val="en-US" w:eastAsia="zh-CN"/>
        </w:rPr>
        <w:t>法治</w:t>
      </w:r>
      <w:r>
        <w:rPr>
          <w:rFonts w:hint="eastAsia" w:ascii="仿宋" w:hAnsi="仿宋" w:eastAsia="仿宋" w:cs="仿宋"/>
          <w:b w:val="0"/>
          <w:bCs w:val="0"/>
          <w:sz w:val="32"/>
          <w:szCs w:val="32"/>
          <w:lang w:eastAsia="zh-CN"/>
        </w:rPr>
        <w:t>学习内容</w:t>
      </w:r>
      <w:r>
        <w:rPr>
          <w:rFonts w:hint="eastAsia" w:ascii="仿宋" w:hAnsi="仿宋" w:eastAsia="仿宋" w:cs="仿宋"/>
          <w:sz w:val="32"/>
          <w:szCs w:val="32"/>
          <w:lang w:eastAsia="zh-CN"/>
        </w:rPr>
        <w:t>常</w:t>
      </w:r>
      <w:r>
        <w:rPr>
          <w:rFonts w:hint="eastAsia" w:ascii="仿宋" w:hAnsi="仿宋" w:eastAsia="仿宋" w:cs="仿宋"/>
          <w:sz w:val="32"/>
          <w:szCs w:val="32"/>
        </w:rPr>
        <w:t>局限于住房公积金政策</w:t>
      </w:r>
      <w:r>
        <w:rPr>
          <w:rFonts w:hint="eastAsia" w:ascii="仿宋" w:hAnsi="仿宋" w:eastAsia="仿宋" w:cs="仿宋"/>
          <w:sz w:val="32"/>
          <w:szCs w:val="32"/>
          <w:lang w:eastAsia="zh-CN"/>
        </w:rPr>
        <w:t>、</w:t>
      </w:r>
      <w:r>
        <w:rPr>
          <w:rFonts w:hint="eastAsia" w:ascii="仿宋" w:hAnsi="仿宋" w:eastAsia="仿宋" w:cs="仿宋"/>
          <w:sz w:val="32"/>
          <w:szCs w:val="32"/>
        </w:rPr>
        <w:t>法规</w:t>
      </w:r>
      <w:r>
        <w:rPr>
          <w:rFonts w:hint="eastAsia" w:ascii="仿宋" w:hAnsi="仿宋" w:eastAsia="仿宋" w:cs="仿宋"/>
          <w:sz w:val="32"/>
          <w:szCs w:val="32"/>
          <w:lang w:eastAsia="zh-CN"/>
        </w:rPr>
        <w:t>和市法宣办要求的《国家安全宣传教育》《民法典》《宪法》等定期普法学习，</w:t>
      </w:r>
      <w:r>
        <w:rPr>
          <w:rFonts w:hint="eastAsia" w:ascii="仿宋" w:hAnsi="仿宋" w:eastAsia="仿宋" w:cs="仿宋"/>
          <w:sz w:val="32"/>
          <w:szCs w:val="32"/>
        </w:rPr>
        <w:t>对于其他法律和法规</w:t>
      </w:r>
      <w:r>
        <w:rPr>
          <w:rFonts w:hint="eastAsia" w:ascii="仿宋" w:hAnsi="仿宋" w:eastAsia="仿宋" w:cs="仿宋"/>
          <w:sz w:val="32"/>
          <w:szCs w:val="32"/>
          <w:lang w:eastAsia="zh-CN"/>
        </w:rPr>
        <w:t>学习的深入、广度还不够，</w:t>
      </w:r>
      <w:r>
        <w:rPr>
          <w:rFonts w:hint="eastAsia" w:ascii="仿宋" w:hAnsi="仿宋" w:eastAsia="仿宋" w:cs="仿宋"/>
          <w:sz w:val="32"/>
          <w:szCs w:val="32"/>
          <w:lang w:val="en-US" w:eastAsia="zh-CN"/>
        </w:rPr>
        <w:t>群众的学法积极性未得到充分激发。</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2" w:firstLineChars="200"/>
        <w:jc w:val="both"/>
        <w:textAlignment w:val="auto"/>
        <w:rPr>
          <w:rFonts w:hint="eastAsia" w:ascii="仿宋" w:hAnsi="仿宋" w:eastAsia="仿宋" w:cs="仿宋"/>
          <w:b/>
          <w:bCs/>
          <w:sz w:val="32"/>
          <w:szCs w:val="32"/>
        </w:rPr>
      </w:pPr>
      <w:r>
        <w:rPr>
          <w:rFonts w:hint="eastAsia" w:ascii="仿宋" w:hAnsi="仿宋" w:eastAsia="仿宋" w:cs="仿宋"/>
          <w:b/>
          <w:bCs/>
          <w:sz w:val="32"/>
          <w:szCs w:val="32"/>
          <w:lang w:val="en-US" w:eastAsia="zh-CN"/>
        </w:rPr>
        <w:t>（二）法治建设活动不够有效。</w:t>
      </w:r>
      <w:r>
        <w:rPr>
          <w:rFonts w:hint="eastAsia" w:ascii="仿宋" w:hAnsi="仿宋" w:eastAsia="仿宋" w:cs="仿宋"/>
          <w:sz w:val="32"/>
          <w:szCs w:val="32"/>
          <w:lang w:eastAsia="zh-CN"/>
        </w:rPr>
        <w:t>一方面，部分普法活动枯燥乏味，没有结合具体案例、结合群众的实际需求进行法律宣传，导致群众厌倦、产生抵触情绪。另一方面，由于</w:t>
      </w:r>
      <w:r>
        <w:rPr>
          <w:rFonts w:hint="eastAsia" w:ascii="仿宋" w:hAnsi="仿宋" w:eastAsia="仿宋" w:cs="仿宋"/>
          <w:sz w:val="32"/>
          <w:szCs w:val="32"/>
          <w:lang w:val="en-US" w:eastAsia="zh-CN"/>
        </w:rPr>
        <w:t>公积金业务性较强</w:t>
      </w:r>
      <w:r>
        <w:rPr>
          <w:rFonts w:hint="eastAsia" w:ascii="仿宋" w:hAnsi="仿宋" w:eastAsia="仿宋" w:cs="仿宋"/>
          <w:sz w:val="32"/>
          <w:szCs w:val="32"/>
          <w:lang w:eastAsia="zh-CN"/>
        </w:rPr>
        <w:t>，导致普法教育</w:t>
      </w:r>
      <w:r>
        <w:rPr>
          <w:rFonts w:hint="eastAsia" w:ascii="仿宋" w:hAnsi="仿宋" w:eastAsia="仿宋" w:cs="仿宋"/>
          <w:sz w:val="32"/>
          <w:szCs w:val="32"/>
          <w:lang w:val="en-US" w:eastAsia="zh-CN"/>
        </w:rPr>
        <w:t>广度不够</w:t>
      </w:r>
      <w:r>
        <w:rPr>
          <w:rFonts w:hint="eastAsia" w:ascii="仿宋" w:hAnsi="仿宋" w:eastAsia="仿宋" w:cs="仿宋"/>
          <w:sz w:val="32"/>
          <w:szCs w:val="32"/>
          <w:lang w:eastAsia="zh-CN"/>
        </w:rPr>
        <w:t>、实施效果</w:t>
      </w:r>
      <w:r>
        <w:rPr>
          <w:rFonts w:hint="eastAsia" w:ascii="仿宋" w:hAnsi="仿宋" w:eastAsia="仿宋" w:cs="仿宋"/>
          <w:sz w:val="32"/>
          <w:szCs w:val="32"/>
          <w:lang w:val="en-US" w:eastAsia="zh-CN"/>
        </w:rPr>
        <w:t>比较单一</w:t>
      </w:r>
      <w:r>
        <w:rPr>
          <w:rFonts w:hint="eastAsia" w:ascii="仿宋" w:hAnsi="仿宋" w:eastAsia="仿宋" w:cs="仿宋"/>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2"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（三）法治建设队伍能力有待提升。一是</w:t>
      </w:r>
      <w:r>
        <w:rPr>
          <w:rFonts w:hint="eastAsia" w:ascii="仿宋" w:hAnsi="仿宋" w:eastAsia="仿宋" w:cs="仿宋"/>
          <w:sz w:val="32"/>
          <w:szCs w:val="32"/>
        </w:rPr>
        <w:t>法治队伍专业素养需进一步提升</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中心</w:t>
      </w:r>
      <w:r>
        <w:rPr>
          <w:rFonts w:hint="eastAsia" w:ascii="仿宋" w:hAnsi="仿宋" w:eastAsia="仿宋" w:cs="仿宋"/>
          <w:sz w:val="32"/>
          <w:szCs w:val="32"/>
        </w:rPr>
        <w:t>法治建设队伍同志大部分</w:t>
      </w:r>
      <w:r>
        <w:rPr>
          <w:rFonts w:hint="eastAsia" w:ascii="仿宋" w:hAnsi="仿宋" w:eastAsia="仿宋" w:cs="仿宋"/>
          <w:sz w:val="32"/>
          <w:szCs w:val="32"/>
          <w:lang w:val="en-US" w:eastAsia="zh-CN"/>
        </w:rPr>
        <w:t>为</w:t>
      </w:r>
      <w:r>
        <w:rPr>
          <w:rFonts w:hint="eastAsia" w:ascii="仿宋" w:hAnsi="仿宋" w:eastAsia="仿宋" w:cs="仿宋"/>
          <w:sz w:val="32"/>
          <w:szCs w:val="32"/>
        </w:rPr>
        <w:t>非法律专业人士，且都是兼职负责法治建设工作，在推动法治建设工作上有时会力不从心。</w:t>
      </w:r>
      <w:r>
        <w:rPr>
          <w:rFonts w:hint="eastAsia" w:ascii="仿宋" w:hAnsi="仿宋" w:eastAsia="仿宋" w:cs="仿宋"/>
          <w:b/>
          <w:bCs/>
          <w:sz w:val="32"/>
          <w:szCs w:val="32"/>
          <w:lang w:val="en-US" w:eastAsia="zh-CN"/>
        </w:rPr>
        <w:t>二是</w:t>
      </w:r>
      <w:r>
        <w:rPr>
          <w:rFonts w:hint="eastAsia" w:ascii="仿宋" w:hAnsi="仿宋" w:eastAsia="仿宋" w:cs="仿宋"/>
          <w:sz w:val="32"/>
          <w:szCs w:val="32"/>
          <w:lang w:val="en-US" w:eastAsia="zh-CN"/>
        </w:rPr>
        <w:t>法律顾问作用发挥不明显。中心聘请的法律顾问仅限于参与信访矛盾化解、突发事件应对处置，提出法律论证、审核意见建议和及时给予相应释疑解答，在单位职工法律专业知识培训方面做的还不够，引导职工守法尊法学法用法氛围还不浓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2" w:firstLineChars="200"/>
        <w:jc w:val="both"/>
        <w:textAlignment w:val="auto"/>
        <w:rPr>
          <w:rFonts w:hint="eastAsia" w:ascii="仿宋" w:hAnsi="仿宋" w:eastAsia="仿宋" w:cs="仿宋"/>
          <w:sz w:val="32"/>
          <w:szCs w:val="32"/>
          <w:lang w:eastAsia="zh-CN"/>
        </w:rPr>
      </w:pPr>
      <w:r>
        <w:rPr>
          <w:rFonts w:hint="eastAsia" w:ascii="仿宋" w:hAnsi="仿宋" w:eastAsia="仿宋" w:cs="仿宋"/>
          <w:b/>
          <w:bCs/>
          <w:sz w:val="32"/>
          <w:szCs w:val="32"/>
          <w:lang w:val="en-US" w:eastAsia="zh-CN"/>
        </w:rPr>
        <w:t>（四）法治建设工作动力不足。</w:t>
      </w:r>
      <w:r>
        <w:rPr>
          <w:rFonts w:hint="eastAsia" w:ascii="仿宋" w:hAnsi="仿宋" w:eastAsia="仿宋" w:cs="仿宋"/>
          <w:sz w:val="32"/>
          <w:szCs w:val="32"/>
          <w:lang w:eastAsia="zh-CN"/>
        </w:rPr>
        <w:t>法治建设工作经常限于完成上级交办的规定动作，缺乏主动性和创新性，</w:t>
      </w:r>
      <w:r>
        <w:rPr>
          <w:rFonts w:hint="eastAsia" w:ascii="仿宋" w:hAnsi="仿宋" w:eastAsia="仿宋" w:cs="仿宋"/>
          <w:sz w:val="32"/>
          <w:szCs w:val="32"/>
          <w:lang w:val="en-US" w:eastAsia="zh-CN"/>
        </w:rPr>
        <w:t>导致工作成效浮于表面质效不佳，未形成岗位职责、工作实践和个人思考的“三个结合”</w:t>
      </w:r>
      <w:r>
        <w:rPr>
          <w:rFonts w:hint="eastAsia" w:ascii="仿宋" w:hAnsi="仿宋" w:eastAsia="仿宋" w:cs="仿宋"/>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2" w:firstLineChars="200"/>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b/>
          <w:bCs/>
          <w:kern w:val="2"/>
          <w:sz w:val="32"/>
          <w:szCs w:val="32"/>
          <w:lang w:val="en-US" w:eastAsia="zh-CN" w:bidi="ar-SA"/>
        </w:rPr>
        <w:t>（五）“放管服”改革，优化营商环境还需深化。</w:t>
      </w:r>
      <w:r>
        <w:rPr>
          <w:rFonts w:hint="eastAsia" w:ascii="仿宋" w:hAnsi="仿宋" w:eastAsia="仿宋" w:cs="仿宋"/>
          <w:b w:val="0"/>
          <w:bCs w:val="0"/>
          <w:kern w:val="2"/>
          <w:sz w:val="32"/>
          <w:szCs w:val="32"/>
          <w:lang w:val="en-US" w:eastAsia="zh-CN" w:bidi="ar-SA"/>
        </w:rPr>
        <w:t>目前中心行政许可事项事项清单和权责清单管理机制不健全，需</w:t>
      </w:r>
      <w:r>
        <w:rPr>
          <w:rFonts w:hint="eastAsia" w:ascii="仿宋" w:hAnsi="仿宋" w:eastAsia="仿宋" w:cs="仿宋"/>
          <w:kern w:val="2"/>
          <w:sz w:val="32"/>
          <w:szCs w:val="32"/>
          <w:lang w:val="en-US" w:eastAsia="zh-CN" w:bidi="ar-SA"/>
        </w:rPr>
        <w:t>加强统筹组织协调能力；基础设施建设水平与当前政务服务工作需要不适应；政务服务标准化规范化便利化水平有待提升。</w:t>
      </w:r>
    </w:p>
    <w:p>
      <w:pPr>
        <w:pStyle w:val="4"/>
        <w:keepNext w:val="0"/>
        <w:keepLines w:val="0"/>
        <w:pageBreakBefore w:val="0"/>
        <w:kinsoku/>
        <w:wordWrap/>
        <w:overflowPunct/>
        <w:topLinePunct w:val="0"/>
        <w:autoSpaceDE/>
        <w:autoSpaceDN/>
        <w:bidi w:val="0"/>
        <w:adjustRightInd/>
        <w:snapToGrid/>
        <w:spacing w:line="560" w:lineRule="exact"/>
        <w:ind w:firstLine="316" w:firstLineChars="100"/>
        <w:textAlignment w:val="auto"/>
        <w:rPr>
          <w:rFonts w:hint="eastAsia" w:ascii="黑体" w:hAnsi="黑体" w:eastAsia="黑体" w:cs="黑体"/>
          <w:sz w:val="32"/>
          <w:szCs w:val="32"/>
          <w:lang w:eastAsia="zh-CN"/>
        </w:rPr>
      </w:pPr>
    </w:p>
    <w:p>
      <w:pPr>
        <w:pStyle w:val="4"/>
        <w:keepNext w:val="0"/>
        <w:keepLines w:val="0"/>
        <w:pageBreakBefore w:val="0"/>
        <w:kinsoku/>
        <w:wordWrap/>
        <w:overflowPunct/>
        <w:topLinePunct w:val="0"/>
        <w:autoSpaceDE/>
        <w:autoSpaceDN/>
        <w:bidi w:val="0"/>
        <w:adjustRightInd/>
        <w:snapToGrid/>
        <w:spacing w:line="560" w:lineRule="exact"/>
        <w:ind w:firstLine="316" w:firstLineChars="1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三、下一步工作安排</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 w:hAnsi="仿宋" w:eastAsia="仿宋" w:cs="仿宋"/>
          <w:sz w:val="32"/>
          <w:szCs w:val="32"/>
        </w:rPr>
      </w:pPr>
      <w:r>
        <w:rPr>
          <w:rFonts w:hint="eastAsia" w:ascii="仿宋" w:hAnsi="仿宋" w:eastAsia="仿宋" w:cs="仿宋"/>
          <w:b/>
          <w:bCs/>
          <w:sz w:val="32"/>
          <w:szCs w:val="32"/>
          <w:lang w:eastAsia="zh-CN"/>
        </w:rPr>
        <w:t>（一）进一步</w:t>
      </w:r>
      <w:r>
        <w:rPr>
          <w:rFonts w:hint="eastAsia" w:ascii="仿宋" w:hAnsi="仿宋" w:eastAsia="仿宋" w:cs="仿宋"/>
          <w:b/>
          <w:bCs/>
          <w:sz w:val="32"/>
          <w:szCs w:val="32"/>
          <w:lang w:val="en-US" w:eastAsia="zh-CN"/>
        </w:rPr>
        <w:t>落实好</w:t>
      </w:r>
      <w:r>
        <w:rPr>
          <w:rFonts w:hint="eastAsia" w:ascii="仿宋" w:hAnsi="仿宋" w:eastAsia="仿宋" w:cs="仿宋"/>
          <w:b/>
          <w:bCs/>
          <w:sz w:val="32"/>
          <w:szCs w:val="32"/>
        </w:rPr>
        <w:t>法治</w:t>
      </w:r>
      <w:r>
        <w:rPr>
          <w:rFonts w:hint="eastAsia" w:ascii="仿宋" w:hAnsi="仿宋" w:eastAsia="仿宋" w:cs="仿宋"/>
          <w:b/>
          <w:bCs/>
          <w:sz w:val="32"/>
          <w:szCs w:val="32"/>
          <w:lang w:eastAsia="zh-CN"/>
        </w:rPr>
        <w:t>政府</w:t>
      </w:r>
      <w:r>
        <w:rPr>
          <w:rFonts w:hint="eastAsia" w:ascii="仿宋" w:hAnsi="仿宋" w:eastAsia="仿宋" w:cs="仿宋"/>
          <w:b/>
          <w:bCs/>
          <w:sz w:val="32"/>
          <w:szCs w:val="32"/>
        </w:rPr>
        <w:t>建设“第一责任人”职责。</w:t>
      </w:r>
      <w:r>
        <w:rPr>
          <w:rFonts w:hint="eastAsia" w:ascii="仿宋" w:hAnsi="仿宋" w:eastAsia="仿宋" w:cs="仿宋"/>
          <w:b w:val="0"/>
          <w:bCs w:val="0"/>
          <w:sz w:val="32"/>
          <w:szCs w:val="32"/>
          <w:lang w:eastAsia="zh-CN"/>
        </w:rPr>
        <w:t>中心主要负责人</w:t>
      </w:r>
      <w:r>
        <w:rPr>
          <w:rFonts w:hint="eastAsia" w:ascii="仿宋" w:hAnsi="仿宋" w:eastAsia="仿宋" w:cs="仿宋"/>
          <w:sz w:val="32"/>
          <w:szCs w:val="32"/>
          <w:lang w:eastAsia="zh-CN"/>
        </w:rPr>
        <w:t>将</w:t>
      </w:r>
      <w:r>
        <w:rPr>
          <w:rFonts w:hint="eastAsia" w:ascii="仿宋" w:hAnsi="仿宋" w:eastAsia="仿宋" w:cs="仿宋"/>
          <w:sz w:val="32"/>
          <w:szCs w:val="32"/>
        </w:rPr>
        <w:t>自觉运用</w:t>
      </w:r>
      <w:r>
        <w:rPr>
          <w:rFonts w:hint="eastAsia" w:ascii="仿宋" w:hAnsi="仿宋" w:eastAsia="仿宋" w:cs="仿宋"/>
          <w:sz w:val="32"/>
          <w:szCs w:val="32"/>
          <w:lang w:eastAsia="zh-CN"/>
        </w:rPr>
        <w:t>习近平法治思想</w:t>
      </w:r>
      <w:r>
        <w:rPr>
          <w:rFonts w:hint="eastAsia" w:ascii="仿宋" w:hAnsi="仿宋" w:eastAsia="仿宋" w:cs="仿宋"/>
          <w:sz w:val="32"/>
          <w:szCs w:val="32"/>
        </w:rPr>
        <w:t>和法治方式对法治</w:t>
      </w:r>
      <w:r>
        <w:rPr>
          <w:rFonts w:hint="eastAsia" w:ascii="仿宋" w:hAnsi="仿宋" w:eastAsia="仿宋" w:cs="仿宋"/>
          <w:sz w:val="32"/>
          <w:szCs w:val="32"/>
          <w:lang w:eastAsia="zh-CN"/>
        </w:rPr>
        <w:t>政府</w:t>
      </w:r>
      <w:r>
        <w:rPr>
          <w:rFonts w:hint="eastAsia" w:ascii="仿宋" w:hAnsi="仿宋" w:eastAsia="仿宋" w:cs="仿宋"/>
          <w:sz w:val="32"/>
          <w:szCs w:val="32"/>
        </w:rPr>
        <w:t>建设重大事项亲自部署，重要问题亲自解决、重点环节亲自协调、重要任务亲自督办。继续坚持把学法用法、重大事项决策、依法履职和推进法治建设情况作为重要抓手。继续严格落实重大行政决策程序规定，将公众参与、专家论证、风险评估、合法性审查、集体讨论决定作为重大行政决策必经程序，通过不断努力进一步提升中心的依法行政水平。</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 w:hAnsi="仿宋" w:eastAsia="仿宋" w:cs="仿宋"/>
          <w:sz w:val="32"/>
          <w:szCs w:val="32"/>
          <w:lang w:eastAsia="zh-CN"/>
        </w:rPr>
      </w:pPr>
      <w:r>
        <w:rPr>
          <w:rFonts w:hint="eastAsia" w:ascii="仿宋" w:hAnsi="仿宋" w:eastAsia="仿宋" w:cs="仿宋"/>
          <w:b/>
          <w:bCs/>
          <w:sz w:val="32"/>
          <w:szCs w:val="32"/>
        </w:rPr>
        <w:t>（</w:t>
      </w:r>
      <w:r>
        <w:rPr>
          <w:rFonts w:hint="eastAsia" w:ascii="仿宋" w:hAnsi="仿宋" w:eastAsia="仿宋" w:cs="仿宋"/>
          <w:b/>
          <w:bCs/>
          <w:sz w:val="32"/>
          <w:szCs w:val="32"/>
          <w:lang w:eastAsia="zh-CN"/>
        </w:rPr>
        <w:t>二</w:t>
      </w:r>
      <w:r>
        <w:rPr>
          <w:rFonts w:hint="eastAsia" w:ascii="仿宋" w:hAnsi="仿宋" w:eastAsia="仿宋" w:cs="仿宋"/>
          <w:b/>
          <w:bCs/>
          <w:sz w:val="32"/>
          <w:szCs w:val="32"/>
        </w:rPr>
        <w:t>）进一步强</w:t>
      </w:r>
      <w:r>
        <w:rPr>
          <w:rFonts w:hint="eastAsia" w:ascii="仿宋" w:hAnsi="仿宋" w:eastAsia="仿宋" w:cs="仿宋"/>
          <w:b/>
          <w:bCs/>
          <w:sz w:val="32"/>
          <w:szCs w:val="32"/>
          <w:lang w:val="en-US" w:eastAsia="zh-CN"/>
        </w:rPr>
        <w:t>化</w:t>
      </w:r>
      <w:r>
        <w:rPr>
          <w:rFonts w:hint="eastAsia" w:ascii="仿宋" w:hAnsi="仿宋" w:eastAsia="仿宋" w:cs="仿宋"/>
          <w:b/>
          <w:bCs/>
          <w:sz w:val="32"/>
          <w:szCs w:val="32"/>
          <w:lang w:eastAsia="zh-CN"/>
        </w:rPr>
        <w:t>普法宣传</w:t>
      </w:r>
      <w:r>
        <w:rPr>
          <w:rFonts w:hint="eastAsia" w:ascii="仿宋" w:hAnsi="仿宋" w:eastAsia="仿宋" w:cs="仿宋"/>
          <w:b/>
          <w:bCs/>
          <w:sz w:val="32"/>
          <w:szCs w:val="32"/>
          <w:lang w:val="en-US" w:eastAsia="zh-CN"/>
        </w:rPr>
        <w:t>工作</w:t>
      </w:r>
      <w:r>
        <w:rPr>
          <w:rFonts w:hint="eastAsia" w:ascii="仿宋" w:hAnsi="仿宋" w:eastAsia="仿宋" w:cs="仿宋"/>
          <w:b/>
          <w:bCs/>
          <w:sz w:val="32"/>
          <w:szCs w:val="32"/>
        </w:rPr>
        <w:t>。</w:t>
      </w:r>
      <w:r>
        <w:rPr>
          <w:rFonts w:hint="eastAsia" w:ascii="仿宋" w:hAnsi="仿宋" w:eastAsia="仿宋" w:cs="仿宋"/>
          <w:sz w:val="32"/>
          <w:szCs w:val="32"/>
          <w:lang w:eastAsia="zh-CN"/>
        </w:rPr>
        <w:t>针对住房公积金出台的最新政策，中心将开展形式多样的普法宣传活动，结合普法宣传“进机关、进企业、进社区、进农村、进学校”五进活动</w:t>
      </w:r>
      <w:r>
        <w:rPr>
          <w:rFonts w:hint="eastAsia" w:ascii="仿宋" w:hAnsi="仿宋" w:eastAsia="仿宋" w:cs="仿宋"/>
          <w:sz w:val="32"/>
          <w:szCs w:val="32"/>
        </w:rPr>
        <w:t>利用好“3.15消费者权益保护日”、普法宣传周、宪法宣传周、民法典宣传月等时间节点，通过线上线下渠道大力开展法治宣传教育，并将涉及住房公积金工作的所有法律均纳入学法普法范围</w:t>
      </w:r>
      <w:r>
        <w:rPr>
          <w:rFonts w:hint="eastAsia" w:ascii="仿宋" w:hAnsi="仿宋" w:eastAsia="仿宋" w:cs="仿宋"/>
          <w:sz w:val="32"/>
          <w:szCs w:val="32"/>
          <w:lang w:eastAsia="zh-CN"/>
        </w:rPr>
        <w:t>，切实提供住房公积金政策的宣传力度。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32" w:firstLineChars="200"/>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b/>
          <w:bCs/>
          <w:kern w:val="2"/>
          <w:sz w:val="32"/>
          <w:szCs w:val="32"/>
          <w:lang w:val="en-US" w:eastAsia="zh-CN" w:bidi="ar-SA"/>
        </w:rPr>
        <w:t>（三）进一步加大培训力度，打造专业队伍。</w:t>
      </w:r>
      <w:r>
        <w:rPr>
          <w:rFonts w:hint="eastAsia" w:ascii="仿宋" w:hAnsi="仿宋" w:eastAsia="仿宋" w:cs="仿宋"/>
          <w:kern w:val="2"/>
          <w:sz w:val="32"/>
          <w:szCs w:val="32"/>
          <w:lang w:val="en-US" w:eastAsia="zh-CN" w:bidi="ar-SA"/>
        </w:rPr>
        <w:t>持续加大中心人员法律法规、业务知识教育培训，打造一支政治素养高、法治意识强、业务能力精的法治建设队伍。同时，充分发挥法律顾问作用，提高法律顾问工作的广度和深度，促进法律顾问有效参与法治工作，在对外签订的各类合同、重大决策、规范性文件审核等方面均征求法律顾问意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32" w:firstLineChars="200"/>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b/>
          <w:bCs/>
          <w:kern w:val="2"/>
          <w:sz w:val="32"/>
          <w:szCs w:val="32"/>
          <w:lang w:val="en-US" w:eastAsia="zh-CN" w:bidi="ar-SA"/>
        </w:rPr>
        <w:t>（四）进一步解放思想，推动工作创新。</w:t>
      </w:r>
      <w:r>
        <w:rPr>
          <w:rFonts w:hint="eastAsia" w:ascii="仿宋" w:hAnsi="仿宋" w:eastAsia="仿宋" w:cs="仿宋"/>
          <w:kern w:val="2"/>
          <w:sz w:val="32"/>
          <w:szCs w:val="32"/>
          <w:lang w:val="en-US" w:eastAsia="zh-CN" w:bidi="ar-SA"/>
        </w:rPr>
        <w:t>牢固树立争创一流的观念，强化质量意识和超越意识，紧紧围绕中心工作解放思想、大胆创新、扎实工作，勤勤恳恳、认认真真做好法治建设每一项工作。把创新意识贯穿于工作的全过程，努力跳出以前的思路和框架，在保证质量的基础上不断求新、求活，针对新情况、新问题，大力开展法治调查研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32" w:firstLineChars="200"/>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b/>
          <w:bCs/>
          <w:kern w:val="2"/>
          <w:sz w:val="32"/>
          <w:szCs w:val="32"/>
          <w:lang w:val="en-US" w:eastAsia="zh-CN" w:bidi="ar-SA"/>
        </w:rPr>
        <w:t>（五）进一步推动“放管服”改革与政务服务法治建设融合发展。一是</w:t>
      </w:r>
      <w:r>
        <w:rPr>
          <w:rFonts w:hint="eastAsia" w:ascii="仿宋" w:hAnsi="仿宋" w:eastAsia="仿宋" w:cs="仿宋"/>
          <w:kern w:val="2"/>
          <w:sz w:val="32"/>
          <w:szCs w:val="32"/>
          <w:lang w:val="en-US" w:eastAsia="zh-CN" w:bidi="ar-SA"/>
        </w:rPr>
        <w:t>加强行政许可事项清单、权责清单管理，进一步推动中心职能转变。</w:t>
      </w:r>
      <w:r>
        <w:rPr>
          <w:rFonts w:hint="eastAsia" w:ascii="仿宋" w:hAnsi="仿宋" w:eastAsia="仿宋" w:cs="仿宋"/>
          <w:b/>
          <w:bCs/>
          <w:kern w:val="2"/>
          <w:sz w:val="32"/>
          <w:szCs w:val="32"/>
          <w:lang w:val="en-US" w:eastAsia="zh-CN" w:bidi="ar-SA"/>
        </w:rPr>
        <w:t>二是</w:t>
      </w:r>
      <w:r>
        <w:rPr>
          <w:rFonts w:hint="eastAsia" w:ascii="仿宋" w:hAnsi="仿宋" w:eastAsia="仿宋" w:cs="仿宋"/>
          <w:kern w:val="2"/>
          <w:sz w:val="32"/>
          <w:szCs w:val="32"/>
          <w:lang w:val="en-US" w:eastAsia="zh-CN" w:bidi="ar-SA"/>
        </w:rPr>
        <w:t>在依法监管、精准有效上下功夫，推动“互联网+监管”全覆盖。</w:t>
      </w:r>
      <w:r>
        <w:rPr>
          <w:rFonts w:hint="eastAsia" w:ascii="仿宋" w:hAnsi="仿宋" w:eastAsia="仿宋" w:cs="仿宋"/>
          <w:b/>
          <w:bCs/>
          <w:kern w:val="2"/>
          <w:sz w:val="32"/>
          <w:szCs w:val="32"/>
          <w:lang w:val="en-US" w:eastAsia="zh-CN" w:bidi="ar-SA"/>
        </w:rPr>
        <w:t>三是</w:t>
      </w:r>
      <w:r>
        <w:rPr>
          <w:rFonts w:hint="eastAsia" w:ascii="仿宋" w:hAnsi="仿宋" w:eastAsia="仿宋" w:cs="仿宋"/>
          <w:kern w:val="2"/>
          <w:sz w:val="32"/>
          <w:szCs w:val="32"/>
          <w:lang w:val="en-US" w:eastAsia="zh-CN" w:bidi="ar-SA"/>
        </w:rPr>
        <w:t>提升政务服务规范化标准化便利化，推动综窗改革，实现“一窗受理、一窗办结”，推动更多政务服务事项实现“一网通办”、“一件事一次办”。</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 w:hAnsi="仿宋" w:eastAsia="仿宋" w:cs="仿宋"/>
          <w:sz w:val="32"/>
          <w:szCs w:val="32"/>
          <w:lang w:eastAsia="zh-CN"/>
        </w:rPr>
      </w:pPr>
    </w:p>
    <w:p>
      <w:pPr>
        <w:pStyle w:val="4"/>
        <w:keepNext w:val="0"/>
        <w:keepLines w:val="0"/>
        <w:pageBreakBefore w:val="0"/>
        <w:kinsoku/>
        <w:wordWrap/>
        <w:overflowPunct/>
        <w:topLinePunct w:val="0"/>
        <w:autoSpaceDE/>
        <w:autoSpaceDN/>
        <w:bidi w:val="0"/>
        <w:adjustRightInd/>
        <w:snapToGrid/>
        <w:spacing w:line="560" w:lineRule="exact"/>
        <w:ind w:left="0" w:leftChars="0" w:firstLine="632" w:firstLineChars="200"/>
        <w:textAlignment w:val="auto"/>
        <w:rPr>
          <w:rFonts w:hint="eastAsia" w:ascii="仿宋" w:hAnsi="仿宋" w:eastAsia="仿宋" w:cs="仿宋"/>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right"/>
        <w:textAlignment w:val="auto"/>
        <w:rPr>
          <w:rFonts w:hint="eastAsia" w:ascii="仿宋" w:hAnsi="仿宋" w:eastAsia="仿宋" w:cs="仿宋"/>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right"/>
        <w:textAlignment w:val="auto"/>
        <w:rPr>
          <w:rFonts w:hint="eastAsia" w:ascii="仿宋" w:hAnsi="仿宋" w:eastAsia="仿宋" w:cs="仿宋"/>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righ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淮北市住房公积金管理中心</w:t>
      </w:r>
    </w:p>
    <w:p>
      <w:pPr>
        <w:pStyle w:val="4"/>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2024年2月23日</w:t>
      </w:r>
    </w:p>
    <w:p>
      <w:pPr>
        <w:spacing w:line="580" w:lineRule="exact"/>
        <w:rPr>
          <w:rFonts w:hint="eastAsia" w:ascii="仿宋_GB2312" w:hAnsi="仿宋" w:eastAsia="仿宋_GB2312"/>
          <w:sz w:val="28"/>
          <w:szCs w:val="28"/>
        </w:rPr>
      </w:pPr>
    </w:p>
    <w:p>
      <w:pPr>
        <w:spacing w:line="580" w:lineRule="exact"/>
        <w:rPr>
          <w:rFonts w:hint="eastAsia" w:ascii="仿宋_GB2312" w:hAnsi="仿宋" w:eastAsia="仿宋_GB2312"/>
          <w:sz w:val="28"/>
          <w:szCs w:val="28"/>
        </w:rPr>
      </w:pPr>
    </w:p>
    <w:p>
      <w:pPr>
        <w:spacing w:line="580" w:lineRule="exact"/>
        <w:ind w:firstLine="276" w:firstLineChars="100"/>
        <w:rPr>
          <w:rFonts w:hint="eastAsia" w:ascii="仿宋_GB2312" w:hAnsi="仿宋" w:eastAsia="仿宋_GB2312"/>
          <w:sz w:val="28"/>
          <w:szCs w:val="28"/>
        </w:rPr>
      </w:pPr>
      <w:r>
        <w:rPr>
          <w:rFonts w:hint="eastAsia" w:ascii="仿宋_GB2312" w:hAnsi="仿宋_GB2312" w:eastAsia="仿宋_GB2312" w:cs="仿宋_GB2312"/>
          <w:sz w:val="28"/>
          <w:szCs w:val="28"/>
          <w:lang w:val="en-US"/>
        </w:rPr>
        <mc:AlternateContent>
          <mc:Choice Requires="wps">
            <w:drawing>
              <wp:anchor distT="0" distB="0" distL="114300" distR="114300" simplePos="0" relativeHeight="251662336" behindDoc="0" locked="0" layoutInCell="1" allowOverlap="1">
                <wp:simplePos x="0" y="0"/>
                <wp:positionH relativeFrom="column">
                  <wp:posOffset>-8255</wp:posOffset>
                </wp:positionH>
                <wp:positionV relativeFrom="paragraph">
                  <wp:posOffset>83185</wp:posOffset>
                </wp:positionV>
                <wp:extent cx="5583555" cy="0"/>
                <wp:effectExtent l="0" t="4445" r="0" b="5080"/>
                <wp:wrapNone/>
                <wp:docPr id="4"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5583555"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0.65pt;margin-top:6.55pt;height:0pt;width:439.65pt;z-index:251662336;mso-width-relative:page;mso-height-relative:page;" filled="f" stroked="t" coordsize="21600,21600" o:gfxdata="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MmFTnHV&#10;AAAACAEAAA8AAAAAAAAAAQAgAAAAIgAAAGRycy9kb3ducmV2LnhtbFBLAQIUABQAAAAIAIdO4kDS&#10;oeNB6gEAALgDAAAOAAAAAAAAAAEAIAAAACQBAABkcnMvZTJvRG9jLnhtbFBLBQYAAAAABgAGAFkB&#10;AACABQAAAAA=&#10;">
                <v:fill on="f" focussize="0,0"/>
                <v:stroke color="#000000" joinstyle="round"/>
                <v:imagedata o:title=""/>
                <o:lock v:ext="edit" aspectratio="f"/>
              </v:line>
            </w:pict>
          </mc:Fallback>
        </mc:AlternateContent>
      </w:r>
      <w:r>
        <w:rPr>
          <w:rFonts w:hint="eastAsia" w:ascii="仿宋_GB2312" w:hAnsi="仿宋_GB2312" w:eastAsia="仿宋_GB2312" w:cs="仿宋_GB2312"/>
          <w:sz w:val="28"/>
          <w:szCs w:val="28"/>
          <w:lang w:val="en-US" w:eastAsia="zh-CN"/>
        </w:rPr>
        <w:t>抄送：市委依法治事办</w:t>
      </w:r>
      <w:r>
        <w:rPr>
          <w:rFonts w:hint="eastAsia" w:ascii="仿宋_GB2312" w:hAnsi="仿宋_GB2312" w:eastAsia="仿宋_GB2312" w:cs="仿宋_GB2312"/>
          <w:sz w:val="28"/>
          <w:szCs w:val="28"/>
        </w:rPr>
        <w:t xml:space="preserve"> </w:t>
      </w:r>
      <w:r>
        <w:rPr>
          <w:rFonts w:hint="eastAsia" w:ascii="仿宋_GB2312" w:hAnsi="仿宋" w:eastAsia="仿宋_GB2312"/>
          <w:sz w:val="28"/>
          <w:szCs w:val="28"/>
        </w:rPr>
        <w:t xml:space="preserve">              </w:t>
      </w:r>
      <w:r>
        <w:rPr>
          <w:rFonts w:hint="eastAsia" w:ascii="仿宋_GB2312" w:hAnsi="仿宋" w:eastAsia="仿宋_GB2312"/>
          <w:sz w:val="28"/>
          <w:szCs w:val="28"/>
          <w:lang w:val="en-US" w:eastAsia="zh-CN"/>
        </w:rPr>
        <w:t xml:space="preserve"> </w:t>
      </w:r>
    </w:p>
    <w:p>
      <w:pPr>
        <w:spacing w:line="20" w:lineRule="exact"/>
        <w:rPr>
          <w:rFonts w:hint="default" w:ascii="仿宋_GB2312" w:hAnsi="仿宋" w:eastAsia="仿宋_GB2312"/>
          <w:sz w:val="28"/>
          <w:szCs w:val="28"/>
          <w:u w:val="single"/>
          <w:lang w:val="en-US" w:eastAsia="zh-CN"/>
        </w:rPr>
      </w:pPr>
    </w:p>
    <w:p>
      <w:pPr>
        <w:spacing w:line="580" w:lineRule="exact"/>
        <w:ind w:firstLine="316" w:firstLineChars="100"/>
        <w:rPr>
          <w:rFonts w:ascii="仿宋_GB2312" w:hAnsi="仿宋" w:eastAsia="仿宋_GB2312"/>
          <w:sz w:val="28"/>
          <w:szCs w:val="28"/>
        </w:rPr>
      </w:pPr>
      <w:r>
        <w:rPr>
          <w:rFonts w:ascii="Times New Roman" w:hAnsi="Calibri"/>
          <w:szCs w:val="24"/>
        </w:rPr>
        <mc:AlternateContent>
          <mc:Choice Requires="wps">
            <w:drawing>
              <wp:anchor distT="0" distB="0" distL="114300" distR="114300" simplePos="0" relativeHeight="251660288" behindDoc="0" locked="0" layoutInCell="1" allowOverlap="1">
                <wp:simplePos x="0" y="0"/>
                <wp:positionH relativeFrom="column">
                  <wp:posOffset>-8255</wp:posOffset>
                </wp:positionH>
                <wp:positionV relativeFrom="paragraph">
                  <wp:posOffset>83185</wp:posOffset>
                </wp:positionV>
                <wp:extent cx="5583555" cy="0"/>
                <wp:effectExtent l="0" t="4445" r="0" b="5080"/>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583555"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0.65pt;margin-top:6.55pt;height:0pt;width:439.65pt;z-index:251660288;mso-width-relative:page;mso-height-relative:page;" filled="f" stroked="t" coordsize="21600,21600" o:gfxdata="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yYVOcdUA&#10;AAAIAQAADwAAAAAAAAABACAAAAAiAAAAZHJzL2Rvd25yZXYueG1sUEsBAhQAFAAAAAgAh07iQEfy&#10;CALpAQAAuAMAAA4AAAAAAAAAAQAgAAAAJAEAAGRycy9lMm9Eb2MueG1sUEsFBgAAAAAGAAYAWQEA&#10;AH8FAAAAAA==&#10;">
                <v:fill on="f" focussize="0,0"/>
                <v:stroke color="#000000" joinstyle="round"/>
                <v:imagedata o:title=""/>
                <o:lock v:ext="edit" aspectratio="f"/>
              </v:line>
            </w:pict>
          </mc:Fallback>
        </mc:AlternateContent>
      </w:r>
      <w:r>
        <w:rPr>
          <w:rFonts w:hint="eastAsia" w:ascii="仿宋_GB2312" w:hAnsi="仿宋" w:eastAsia="仿宋_GB2312"/>
          <w:sz w:val="28"/>
          <w:szCs w:val="28"/>
        </w:rPr>
        <w:t xml:space="preserve">淮北市住房公积金管理中心                </w:t>
      </w:r>
      <w:r>
        <w:rPr>
          <w:rFonts w:hint="eastAsia" w:ascii="仿宋_GB2312" w:hAnsi="仿宋" w:eastAsia="仿宋_GB2312"/>
          <w:sz w:val="28"/>
          <w:szCs w:val="28"/>
          <w:lang w:val="en-US" w:eastAsia="zh-CN"/>
        </w:rPr>
        <w:t xml:space="preserve"> </w:t>
      </w:r>
      <w:r>
        <w:rPr>
          <w:rFonts w:hint="eastAsia" w:ascii="仿宋_GB2312" w:hAnsi="仿宋" w:eastAsia="仿宋_GB2312"/>
          <w:sz w:val="28"/>
          <w:szCs w:val="28"/>
        </w:rPr>
        <w:t>20</w:t>
      </w:r>
      <w:r>
        <w:rPr>
          <w:rFonts w:hint="eastAsia" w:ascii="仿宋_GB2312" w:hAnsi="仿宋" w:eastAsia="仿宋_GB2312"/>
          <w:sz w:val="28"/>
          <w:szCs w:val="28"/>
          <w:lang w:val="en-US" w:eastAsia="zh-CN"/>
        </w:rPr>
        <w:t>24</w:t>
      </w:r>
      <w:r>
        <w:rPr>
          <w:rFonts w:hint="eastAsia" w:ascii="仿宋_GB2312" w:hAnsi="仿宋" w:eastAsia="仿宋_GB2312"/>
          <w:sz w:val="28"/>
          <w:szCs w:val="28"/>
        </w:rPr>
        <w:t>年</w:t>
      </w:r>
      <w:r>
        <w:rPr>
          <w:rFonts w:hint="eastAsia" w:ascii="仿宋_GB2312" w:hAnsi="仿宋" w:eastAsia="仿宋_GB2312"/>
          <w:sz w:val="28"/>
          <w:szCs w:val="28"/>
          <w:lang w:val="en-US" w:eastAsia="zh-CN"/>
        </w:rPr>
        <w:t>2</w:t>
      </w:r>
      <w:r>
        <w:rPr>
          <w:rFonts w:hint="eastAsia" w:ascii="仿宋_GB2312" w:hAnsi="仿宋" w:eastAsia="仿宋_GB2312"/>
          <w:sz w:val="28"/>
          <w:szCs w:val="28"/>
        </w:rPr>
        <w:t>月</w:t>
      </w:r>
      <w:r>
        <w:rPr>
          <w:rFonts w:hint="eastAsia" w:ascii="仿宋_GB2312" w:hAnsi="仿宋" w:eastAsia="仿宋_GB2312"/>
          <w:sz w:val="28"/>
          <w:szCs w:val="28"/>
          <w:lang w:val="en-US" w:eastAsia="zh-CN"/>
        </w:rPr>
        <w:t xml:space="preserve"> 23</w:t>
      </w:r>
      <w:r>
        <w:rPr>
          <w:rFonts w:hint="eastAsia" w:ascii="仿宋_GB2312" w:hAnsi="仿宋" w:eastAsia="仿宋_GB2312"/>
          <w:sz w:val="28"/>
          <w:szCs w:val="28"/>
        </w:rPr>
        <w:t>日印</w:t>
      </w:r>
    </w:p>
    <w:p>
      <w:pPr>
        <w:spacing w:line="20" w:lineRule="exact"/>
        <w:rPr>
          <w:rFonts w:ascii="仿宋_GB2312" w:hAnsi="Times New Roman" w:eastAsia="仿宋_GB2312"/>
          <w:spacing w:val="4"/>
          <w:sz w:val="32"/>
          <w:szCs w:val="32"/>
        </w:rPr>
      </w:pPr>
    </w:p>
    <w:p>
      <w:pPr>
        <w:spacing w:line="20" w:lineRule="exact"/>
      </w:pPr>
      <w:r>
        <w:rPr>
          <w:rFonts w:ascii="Times New Roman"/>
          <w:szCs w:val="24"/>
        </w:rPr>
        <mc:AlternateContent>
          <mc:Choice Requires="wps">
            <w:drawing>
              <wp:anchor distT="0" distB="0" distL="114300" distR="114300" simplePos="0" relativeHeight="251661312" behindDoc="0" locked="0" layoutInCell="1" allowOverlap="1">
                <wp:simplePos x="0" y="0"/>
                <wp:positionH relativeFrom="column">
                  <wp:posOffset>-14605</wp:posOffset>
                </wp:positionH>
                <wp:positionV relativeFrom="paragraph">
                  <wp:posOffset>41910</wp:posOffset>
                </wp:positionV>
                <wp:extent cx="5583555" cy="0"/>
                <wp:effectExtent l="0" t="4445" r="0" b="5080"/>
                <wp:wrapNone/>
                <wp:docPr id="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5583555"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1.15pt;margin-top:3.3pt;height:0pt;width:439.65pt;z-index:251661312;mso-width-relative:page;mso-height-relative:page;" filled="f" stroked="t" coordsize="21600,21600" o:gfxdata="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Z31+a1AAA&#10;AAYBAAAPAAAAAAAAAAEAIAAAACIAAABkcnMvZG93bnJldi54bWxQSwECFAAUAAAACACHTuJA4esz&#10;RukBAAC4AwAADgAAAAAAAAABACAAAAAjAQAAZHJzL2Uyb0RvYy54bWxQSwUGAAAAAAYABgBZAQAA&#10;fgUAAAAA&#10;">
                <v:fill on="f" focussize="0,0"/>
                <v:stroke color="#000000" joinstyle="round"/>
                <v:imagedata o:title=""/>
                <o:lock v:ext="edit" aspectratio="f"/>
              </v:line>
            </w:pict>
          </mc:Fallback>
        </mc:AlternateContent>
      </w:r>
    </w:p>
    <w:sectPr>
      <w:pgSz w:w="11906" w:h="16838"/>
      <w:pgMar w:top="1985" w:right="1474" w:bottom="1871" w:left="1588" w:header="851" w:footer="1588" w:gutter="0"/>
      <w:cols w:space="720" w:num="1"/>
      <w:docGrid w:type="linesAndChars" w:linePitch="590"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8C5BF6"/>
    <w:multiLevelType w:val="singleLevel"/>
    <w:tmpl w:val="088C5BF6"/>
    <w:lvl w:ilvl="0" w:tentative="0">
      <w:start w:val="1"/>
      <w:numFmt w:val="chineseCounting"/>
      <w:suff w:val="nothing"/>
      <w:lvlText w:val="%1、"/>
      <w:lvlJc w:val="left"/>
      <w:rPr>
        <w:rFonts w:hint="eastAsia"/>
      </w:rPr>
    </w:lvl>
  </w:abstractNum>
  <w:abstractNum w:abstractNumId="1">
    <w:nsid w:val="432135AB"/>
    <w:multiLevelType w:val="singleLevel"/>
    <w:tmpl w:val="432135AB"/>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RjNmM1NWNjZDYzMDY4MjYzZjY0YWU0MzBmODBiYjAifQ=="/>
  </w:docVars>
  <w:rsids>
    <w:rsidRoot w:val="4B9673A5"/>
    <w:rsid w:val="4B9673A5"/>
    <w:rsid w:val="7D0C22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8">
    <w:name w:val="Default Paragraph Font"/>
    <w:semiHidden/>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2">
    <w:name w:val="Body Text Indent"/>
    <w:basedOn w:val="1"/>
    <w:next w:val="3"/>
    <w:qFormat/>
    <w:uiPriority w:val="0"/>
    <w:pPr>
      <w:spacing w:after="120"/>
      <w:ind w:left="420" w:leftChars="200"/>
    </w:pPr>
  </w:style>
  <w:style w:type="paragraph" w:styleId="3">
    <w:name w:val="envelope return"/>
    <w:basedOn w:val="1"/>
    <w:qFormat/>
    <w:uiPriority w:val="0"/>
    <w:pPr>
      <w:snapToGrid w:val="0"/>
    </w:pPr>
    <w:rPr>
      <w:rFonts w:ascii="Arial" w:hAnsi="Arial"/>
    </w:rPr>
  </w:style>
  <w:style w:type="paragraph" w:styleId="4">
    <w:name w:val="Body Text Indent 2"/>
    <w:basedOn w:val="1"/>
    <w:qFormat/>
    <w:uiPriority w:val="0"/>
    <w:pPr>
      <w:spacing w:after="120" w:line="480" w:lineRule="auto"/>
      <w:ind w:left="420" w:leftChars="200"/>
    </w:p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paragraph" w:styleId="6">
    <w:name w:val="Body Text First Indent 2"/>
    <w:basedOn w:val="2"/>
    <w:qFormat/>
    <w:uiPriority w:val="0"/>
    <w:pPr>
      <w:widowControl w:val="0"/>
      <w:ind w:firstLine="420"/>
      <w:textAlignment w:val="auto"/>
    </w:pPr>
    <w:rPr>
      <w:rFonts w:cs="Times New Roman"/>
    </w:rPr>
  </w:style>
  <w:style w:type="paragraph" w:styleId="9">
    <w:name w:val="No Spacing"/>
    <w:autoRedefine/>
    <w:qFormat/>
    <w:uiPriority w:val="1"/>
    <w:pPr>
      <w:jc w:val="both"/>
    </w:pPr>
    <w:rPr>
      <w:rFonts w:ascii="Cambria" w:hAnsi="Cambria" w:eastAsia="宋体" w:cs="Times New Roman"/>
      <w:sz w:val="22"/>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2024-02-26T06:39:00Z</dcterms:created>
  <dc:creator>丁利媛</dc:creator>
  <cp:lastModifiedBy>乐高</cp:lastModifiedBy>
  <dcterms:modified xsi:type="dcterms:W3CDTF">2024-03-29T08:57:44Z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AC0B1BF567C74F458AB2EE020A766F41_13</vt:lpwstr>
  </property>
</Properties>
</file>