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CEB88">
      <w:pPr>
        <w:spacing w:line="240" w:lineRule="auto"/>
        <w:ind w:left="0" w:leftChars="0" w:firstLine="0" w:firstLineChars="0"/>
        <w:jc w:val="both"/>
        <w:rPr>
          <w:rFonts w:eastAsia="方正小标宋简体"/>
          <w:color w:val="FF0000"/>
          <w:w w:val="38"/>
          <w:sz w:val="21"/>
          <w:szCs w:val="21"/>
        </w:rPr>
      </w:pPr>
    </w:p>
    <w:p w14:paraId="00149583">
      <w:pPr>
        <w:spacing w:line="240" w:lineRule="auto"/>
        <w:ind w:left="0" w:leftChars="0" w:firstLine="0" w:firstLineChars="0"/>
        <w:jc w:val="both"/>
        <w:rPr>
          <w:rFonts w:eastAsia="方正小标宋简体"/>
          <w:color w:val="FF0000"/>
          <w:w w:val="38"/>
          <w:sz w:val="21"/>
          <w:szCs w:val="21"/>
        </w:rPr>
      </w:pPr>
    </w:p>
    <w:p w14:paraId="21AD7CD4">
      <w:pPr>
        <w:spacing w:line="240" w:lineRule="auto"/>
        <w:ind w:left="0" w:leftChars="0" w:firstLine="0" w:firstLineChars="0"/>
        <w:jc w:val="both"/>
        <w:rPr>
          <w:rFonts w:eastAsia="方正小标宋简体"/>
          <w:color w:val="FF0000"/>
          <w:w w:val="38"/>
          <w:sz w:val="21"/>
          <w:szCs w:val="21"/>
        </w:rPr>
      </w:pPr>
    </w:p>
    <w:p w14:paraId="33B662A5">
      <w:pPr>
        <w:spacing w:line="240" w:lineRule="auto"/>
        <w:ind w:left="0" w:leftChars="0" w:firstLine="0" w:firstLineChars="0"/>
        <w:jc w:val="both"/>
        <w:rPr>
          <w:rFonts w:eastAsia="方正小标宋简体"/>
          <w:color w:val="FF0000"/>
          <w:w w:val="38"/>
          <w:sz w:val="21"/>
          <w:szCs w:val="21"/>
        </w:rPr>
      </w:pPr>
    </w:p>
    <w:p w14:paraId="6FCBCE0C">
      <w:pPr>
        <w:ind w:left="0" w:leftChars="0" w:firstLine="0" w:firstLineChars="0"/>
        <w:jc w:val="both"/>
        <w:rPr>
          <w:rFonts w:hint="eastAsia" w:ascii="方正小标宋简体" w:eastAsia="方正小标宋简体"/>
          <w:color w:val="FF0000"/>
          <w:w w:val="53"/>
          <w:sz w:val="120"/>
          <w:szCs w:val="120"/>
        </w:rPr>
      </w:pPr>
      <w:r>
        <w:rPr>
          <w:rFonts w:hint="eastAsia" w:ascii="方正小标宋简体" w:eastAsia="方正小标宋简体"/>
          <w:color w:val="FF0000"/>
          <w:w w:val="53"/>
          <w:sz w:val="120"/>
          <w:szCs w:val="120"/>
        </w:rPr>
        <w:t>淮北市住房公积金管理中心文件</w:t>
      </w:r>
    </w:p>
    <w:p w14:paraId="23C4055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bCs/>
          <w:sz w:val="32"/>
          <w:szCs w:val="32"/>
          <w:lang w:val="en-US" w:eastAsia="zh-CN"/>
        </w:rPr>
      </w:pPr>
    </w:p>
    <w:p w14:paraId="784C93B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淮房金</w:t>
      </w:r>
      <w:r>
        <w:rPr>
          <w:rFonts w:hint="default" w:ascii="仿宋" w:hAnsi="仿宋" w:eastAsia="仿宋" w:cs="仿宋"/>
          <w:bCs/>
          <w:sz w:val="32"/>
          <w:szCs w:val="32"/>
          <w:lang w:eastAsia="zh-CN"/>
        </w:rPr>
        <w:t>〔</w:t>
      </w:r>
      <w:r>
        <w:rPr>
          <w:rFonts w:hint="default" w:ascii="仿宋" w:hAnsi="仿宋" w:eastAsia="仿宋" w:cs="仿宋"/>
          <w:bCs/>
          <w:sz w:val="32"/>
          <w:szCs w:val="32"/>
          <w:lang w:val="en-US" w:eastAsia="zh-CN"/>
        </w:rPr>
        <w:t>202</w:t>
      </w:r>
      <w:r>
        <w:rPr>
          <w:rFonts w:hint="eastAsia" w:ascii="仿宋" w:hAnsi="仿宋" w:eastAsia="仿宋" w:cs="仿宋"/>
          <w:bCs/>
          <w:sz w:val="32"/>
          <w:szCs w:val="32"/>
          <w:lang w:val="en-US" w:eastAsia="zh-CN"/>
        </w:rPr>
        <w:t>6</w:t>
      </w:r>
      <w:r>
        <w:rPr>
          <w:rFonts w:hint="default" w:ascii="仿宋" w:hAnsi="仿宋" w:eastAsia="仿宋" w:cs="仿宋"/>
          <w:bCs/>
          <w:sz w:val="32"/>
          <w:szCs w:val="32"/>
          <w:lang w:eastAsia="zh-CN"/>
        </w:rPr>
        <w:t>〕</w:t>
      </w:r>
      <w:r>
        <w:rPr>
          <w:rFonts w:hint="eastAsia" w:ascii="仿宋" w:hAnsi="仿宋" w:eastAsia="仿宋" w:cs="仿宋"/>
          <w:bCs/>
          <w:sz w:val="32"/>
          <w:szCs w:val="32"/>
          <w:lang w:val="en-US" w:eastAsia="zh-CN"/>
        </w:rPr>
        <w:t>1</w:t>
      </w:r>
      <w:r>
        <w:rPr>
          <w:rFonts w:hint="default" w:ascii="仿宋" w:hAnsi="仿宋" w:eastAsia="仿宋" w:cs="仿宋"/>
          <w:bCs/>
          <w:sz w:val="32"/>
          <w:szCs w:val="32"/>
          <w:lang w:eastAsia="zh-CN"/>
        </w:rPr>
        <w:t>号</w:t>
      </w:r>
      <w:r>
        <w:rPr>
          <w:rFonts w:hint="eastAsia" w:ascii="仿宋" w:hAnsi="仿宋" w:eastAsia="仿宋" w:cs="仿宋"/>
          <w:bCs/>
          <w:sz w:val="32"/>
          <w:szCs w:val="32"/>
          <w:lang w:val="en-US" w:eastAsia="zh-CN"/>
        </w:rPr>
        <w:t xml:space="preserve">                       签发人：胡远文</w:t>
      </w:r>
    </w:p>
    <w:p w14:paraId="3D939966">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sz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53340</wp:posOffset>
                </wp:positionV>
                <wp:extent cx="5829300" cy="13970"/>
                <wp:effectExtent l="0" t="0" r="0" b="0"/>
                <wp:wrapNone/>
                <wp:docPr id="3" name="直接连接符 3"/>
                <wp:cNvGraphicFramePr/>
                <a:graphic xmlns:a="http://schemas.openxmlformats.org/drawingml/2006/main">
                  <a:graphicData uri="http://schemas.microsoft.com/office/word/2010/wordprocessingShape">
                    <wps:wsp>
                      <wps:cNvCnPr/>
                      <wps:spPr>
                        <a:xfrm flipV="1">
                          <a:off x="403860" y="5144770"/>
                          <a:ext cx="5829300" cy="13970"/>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7.05pt;margin-top:4.2pt;height:1.1pt;width:459pt;z-index:251660288;mso-width-relative:page;mso-height-relative:page;" filled="f" stroked="t" coordsize="21600,21600" o:gfxdata="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IlvBtkAAAAIAQAADwAAAAAAAAABACAAAAAiAAAAZHJzL2Rv&#10;d25yZXYueG1sUEsBAhQAFAAAAAgAh07iQO5tMTYAAgAAywMAAA4AAAAAAAAAAQAgAAAAKAEAAGRy&#10;cy9lMm9Eb2MueG1sUEsFBgAAAAAGAAYAWQEAAJoFAAAAAA==&#10;">
                <v:fill on="f" focussize="0,0"/>
                <v:stroke weight="2.25pt" color="#FF0000 [3204]" miterlimit="8" joinstyle="miter"/>
                <v:imagedata o:title=""/>
                <o:lock v:ext="edit" aspectratio="f"/>
              </v:line>
            </w:pict>
          </mc:Fallback>
        </mc:AlternateContent>
      </w:r>
    </w:p>
    <w:p w14:paraId="1CDF39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jc w:val="center"/>
        <w:textAlignment w:val="auto"/>
        <w:rPr>
          <w:rFonts w:hint="eastAsia" w:ascii="方正小标宋简体" w:hAnsi="方正小标宋简体" w:eastAsia="方正小标宋简体" w:cs="方正小标宋简体"/>
          <w:i w:val="0"/>
          <w:iCs w:val="0"/>
          <w:caps w:val="0"/>
          <w:color w:val="121212"/>
          <w:spacing w:val="0"/>
          <w:sz w:val="44"/>
          <w:szCs w:val="44"/>
          <w:shd w:val="clear" w:color="auto" w:fill="FFFFFF"/>
          <w:lang w:val="en-US" w:eastAsia="zh-CN"/>
        </w:rPr>
      </w:pPr>
      <w:bookmarkStart w:id="0" w:name="_GoBack"/>
      <w:r>
        <w:rPr>
          <w:rFonts w:hint="eastAsia" w:ascii="方正小标宋简体" w:hAnsi="方正小标宋简体" w:eastAsia="方正小标宋简体" w:cs="方正小标宋简体"/>
          <w:i w:val="0"/>
          <w:iCs w:val="0"/>
          <w:caps w:val="0"/>
          <w:color w:val="121212"/>
          <w:spacing w:val="0"/>
          <w:sz w:val="44"/>
          <w:szCs w:val="44"/>
          <w:shd w:val="clear" w:color="auto" w:fill="FFFFFF"/>
          <w:lang w:val="en-US" w:eastAsia="zh-CN"/>
        </w:rPr>
        <w:t>淮北市住房公积金管理中心2025年</w:t>
      </w:r>
    </w:p>
    <w:p w14:paraId="0DC0A4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jc w:val="center"/>
        <w:textAlignment w:val="auto"/>
        <w:rPr>
          <w:rFonts w:hint="eastAsia" w:ascii="仿宋_GB2312" w:hAnsi="仿宋_GB2312" w:eastAsia="仿宋_GB2312" w:cs="仿宋_GB2312"/>
          <w:kern w:val="0"/>
          <w:sz w:val="32"/>
          <w:szCs w:val="32"/>
          <w:lang w:val="en-US" w:eastAsia="zh-CN" w:bidi="ar"/>
        </w:rPr>
      </w:pPr>
      <w:r>
        <w:rPr>
          <w:rFonts w:hint="eastAsia" w:ascii="方正小标宋简体" w:hAnsi="方正小标宋简体" w:eastAsia="方正小标宋简体" w:cs="方正小标宋简体"/>
          <w:i w:val="0"/>
          <w:iCs w:val="0"/>
          <w:caps w:val="0"/>
          <w:color w:val="121212"/>
          <w:spacing w:val="0"/>
          <w:sz w:val="44"/>
          <w:szCs w:val="44"/>
          <w:shd w:val="clear" w:color="auto" w:fill="FFFFFF"/>
          <w:lang w:val="en-US" w:eastAsia="zh-CN"/>
        </w:rPr>
        <w:t>法治政府建设工作总结</w:t>
      </w:r>
    </w:p>
    <w:bookmarkEnd w:id="0"/>
    <w:p w14:paraId="63A80C23">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仿宋_GB2312"/>
          <w:sz w:val="32"/>
          <w:szCs w:val="40"/>
          <w:highlight w:val="none"/>
          <w:shd w:val="clear" w:color="auto" w:fill="auto"/>
          <w:lang w:val="en-US" w:eastAsia="zh-CN"/>
        </w:rPr>
      </w:pPr>
    </w:p>
    <w:p w14:paraId="112C166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市委、市政府：</w:t>
      </w:r>
    </w:p>
    <w:p w14:paraId="1B85FED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2025年，淮北市住房公积金管理中心坚持以习近平新时代中国特色社会主义思想为指导，深入学习贯彻习近平法治思想，全面落实中央、省、市关于法治政府建设的各项决策部署，将法治思维和法治方式贯穿于政策执行、业务办理、服务群众全过程，较好地完成法治政府建设工作推进任务，现将2025年法治政府建设年度工作开展情况汇报如下：</w:t>
      </w:r>
    </w:p>
    <w:p w14:paraId="75BF19B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kern w:val="2"/>
          <w:sz w:val="32"/>
          <w:szCs w:val="32"/>
          <w:lang w:val="en-US" w:eastAsia="zh-CN" w:bidi="ar-SA"/>
        </w:rPr>
        <w:t>一、</w:t>
      </w:r>
      <w:r>
        <w:rPr>
          <w:rFonts w:hint="eastAsia" w:ascii="黑体" w:hAnsi="黑体" w:eastAsia="黑体" w:cs="黑体"/>
          <w:color w:val="auto"/>
          <w:sz w:val="32"/>
          <w:szCs w:val="32"/>
          <w:lang w:val="en-US" w:eastAsia="zh-CN"/>
        </w:rPr>
        <w:t>2025年度法治政府建设</w:t>
      </w:r>
      <w:r>
        <w:rPr>
          <w:rFonts w:hint="eastAsia" w:ascii="黑体" w:hAnsi="黑体" w:eastAsia="黑体" w:cs="黑体"/>
          <w:color w:val="auto"/>
          <w:sz w:val="32"/>
          <w:szCs w:val="32"/>
          <w:lang w:eastAsia="zh-CN"/>
        </w:rPr>
        <w:t>工作开展情况</w:t>
      </w:r>
    </w:p>
    <w:p w14:paraId="72F727D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楷体" w:cs="楷体"/>
          <w:b w:val="0"/>
          <w:bCs w:val="0"/>
          <w:spacing w:val="0"/>
          <w:kern w:val="2"/>
          <w:sz w:val="32"/>
          <w:szCs w:val="32"/>
          <w:lang w:val="en-US" w:eastAsia="zh-CN" w:bidi="ar-SA"/>
        </w:rPr>
      </w:pPr>
      <w:r>
        <w:rPr>
          <w:rFonts w:hint="eastAsia" w:ascii="Times New Roman" w:hAnsi="Times New Roman" w:eastAsia="楷体" w:cs="楷体"/>
          <w:b w:val="0"/>
          <w:bCs w:val="0"/>
          <w:spacing w:val="0"/>
          <w:kern w:val="2"/>
          <w:sz w:val="32"/>
          <w:szCs w:val="32"/>
          <w:lang w:val="en-US" w:eastAsia="zh-CN" w:bidi="ar-SA"/>
        </w:rPr>
        <w:t>（一）</w:t>
      </w:r>
      <w:r>
        <w:rPr>
          <w:rFonts w:hint="eastAsia" w:ascii="Times New Roman" w:hAnsi="Times New Roman" w:eastAsia="楷体" w:cs="楷体"/>
          <w:b w:val="0"/>
          <w:bCs w:val="0"/>
          <w:spacing w:val="0"/>
          <w:sz w:val="32"/>
          <w:szCs w:val="32"/>
          <w:highlight w:val="none"/>
          <w:lang w:val="en-US" w:eastAsia="zh-CN"/>
        </w:rPr>
        <w:t>加强组织领导，</w:t>
      </w:r>
      <w:r>
        <w:rPr>
          <w:rFonts w:hint="eastAsia" w:ascii="Times New Roman" w:hAnsi="Times New Roman" w:eastAsia="楷体" w:cs="楷体"/>
          <w:b w:val="0"/>
          <w:bCs w:val="0"/>
          <w:spacing w:val="0"/>
          <w:kern w:val="2"/>
          <w:sz w:val="32"/>
          <w:szCs w:val="32"/>
          <w:lang w:val="en-US" w:eastAsia="zh-CN" w:bidi="ar-SA"/>
        </w:rPr>
        <w:t>压实法治建设责任链条</w:t>
      </w:r>
    </w:p>
    <w:p w14:paraId="66A8615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仿宋_GB2312" w:hAnsi="仿宋_GB2312" w:eastAsia="仿宋_GB2312" w:cs="仿宋_GB2312"/>
          <w:b/>
          <w:bCs/>
          <w:i w:val="0"/>
          <w:iCs w:val="0"/>
          <w:caps w:val="0"/>
          <w:color w:val="121212"/>
          <w:spacing w:val="0"/>
          <w:sz w:val="32"/>
          <w:szCs w:val="32"/>
          <w:shd w:val="clear" w:color="auto" w:fill="FFFFFF"/>
          <w:lang w:val="en-US" w:eastAsia="zh-CN"/>
        </w:rPr>
        <w:t>一是</w:t>
      </w:r>
      <w:r>
        <w:rPr>
          <w:rFonts w:hint="eastAsia" w:ascii="仿宋_GB2312" w:hAnsi="仿宋_GB2312" w:eastAsia="仿宋_GB2312" w:cs="仿宋_GB2312"/>
          <w:i w:val="0"/>
          <w:iCs w:val="0"/>
          <w:caps w:val="0"/>
          <w:color w:val="121212"/>
          <w:spacing w:val="0"/>
          <w:sz w:val="32"/>
          <w:szCs w:val="32"/>
          <w:shd w:val="clear" w:color="auto" w:fill="FFFFFF"/>
          <w:lang w:val="en-US" w:eastAsia="zh-CN"/>
        </w:rPr>
        <w:t>强化组织保障与统筹推进。中心将法治政府建设工作纳入重要议事日程，</w:t>
      </w:r>
      <w:r>
        <w:rPr>
          <w:rFonts w:hint="eastAsia" w:ascii="Times New Roman" w:hAnsi="Times New Roman" w:eastAsia="仿宋_GB2312" w:cs="Times New Roman"/>
          <w:spacing w:val="0"/>
          <w:sz w:val="32"/>
          <w:szCs w:val="32"/>
          <w:lang w:val="en-US" w:eastAsia="zh-CN"/>
        </w:rPr>
        <w:t>成立由中心党组书记任组长，班子成员任副组长，各科室（部）主要负责人为成员的法治政府建设工作领导小组，统筹协调、整体推进中心法治政府建设、依法行政、普法宣传等各项工作。领导小组定期召开会议，研究解决法治政府建设中的重大问题、重点难点工作，确保法治政府建设方向不偏、力度不减、推进有序。</w:t>
      </w:r>
      <w:r>
        <w:rPr>
          <w:rFonts w:hint="eastAsia" w:ascii="仿宋_GB2312" w:hAnsi="仿宋_GB2312" w:eastAsia="仿宋_GB2312" w:cs="仿宋_GB2312"/>
          <w:b/>
          <w:bCs/>
          <w:i w:val="0"/>
          <w:iCs w:val="0"/>
          <w:caps w:val="0"/>
          <w:color w:val="121212"/>
          <w:spacing w:val="0"/>
          <w:sz w:val="32"/>
          <w:szCs w:val="32"/>
          <w:shd w:val="clear" w:color="auto" w:fill="FFFFFF"/>
          <w:lang w:val="en-US" w:eastAsia="zh-CN"/>
        </w:rPr>
        <w:t>二是</w:t>
      </w:r>
      <w:r>
        <w:rPr>
          <w:rFonts w:hint="eastAsia" w:ascii="仿宋_GB2312" w:hAnsi="仿宋_GB2312" w:eastAsia="仿宋_GB2312" w:cs="仿宋_GB2312"/>
          <w:i w:val="0"/>
          <w:iCs w:val="0"/>
          <w:caps w:val="0"/>
          <w:color w:val="121212"/>
          <w:spacing w:val="0"/>
          <w:sz w:val="32"/>
          <w:szCs w:val="32"/>
          <w:shd w:val="clear" w:color="auto" w:fill="FFFFFF"/>
          <w:lang w:val="en-US" w:eastAsia="zh-CN"/>
        </w:rPr>
        <w:t>明确任务分工与主体责任。中心围绕《中共淮北市委全面依法治市委员会2025年工作要点》的要求，结合工作实际，扎实谋划部署，</w:t>
      </w:r>
      <w:r>
        <w:rPr>
          <w:rFonts w:hint="eastAsia" w:ascii="Times New Roman" w:hAnsi="Times New Roman" w:eastAsia="仿宋_GB2312" w:cs="Times New Roman"/>
          <w:spacing w:val="0"/>
          <w:sz w:val="32"/>
          <w:szCs w:val="32"/>
          <w:lang w:val="en-US" w:eastAsia="zh-CN"/>
        </w:rPr>
        <w:t>制定</w:t>
      </w:r>
      <w:r>
        <w:rPr>
          <w:rFonts w:hint="eastAsia" w:ascii="仿宋_GB2312" w:hAnsi="仿宋_GB2312" w:eastAsia="仿宋_GB2312" w:cs="仿宋_GB2312"/>
          <w:i w:val="0"/>
          <w:iCs w:val="0"/>
          <w:caps w:val="0"/>
          <w:color w:val="121212"/>
          <w:spacing w:val="0"/>
          <w:sz w:val="32"/>
          <w:szCs w:val="32"/>
          <w:shd w:val="clear" w:color="auto" w:fill="FFFFFF"/>
          <w:lang w:val="en-US" w:eastAsia="zh-CN"/>
        </w:rPr>
        <w:t>《淮北市住房公积金2025年度普法责任清单》和《领导干部应知应会法律法规清单》，</w:t>
      </w:r>
      <w:r>
        <w:rPr>
          <w:rFonts w:hint="eastAsia" w:ascii="Times New Roman" w:hAnsi="Times New Roman" w:eastAsia="仿宋_GB2312" w:cs="Times New Roman"/>
          <w:spacing w:val="0"/>
          <w:sz w:val="32"/>
          <w:szCs w:val="32"/>
          <w:lang w:val="en-US" w:eastAsia="zh-CN"/>
        </w:rPr>
        <w:t>明确党组、领导班子成员、各科室在法治建设、依法行政、普法宣传、风险防范等方面的具体职责、工作任务和完成时限，做到任务到人、责任到岗、要求到位。</w:t>
      </w:r>
      <w:r>
        <w:rPr>
          <w:rFonts w:hint="eastAsia" w:ascii="仿宋_GB2312" w:hAnsi="仿宋_GB2312" w:eastAsia="仿宋_GB2312" w:cs="仿宋_GB2312"/>
          <w:b/>
          <w:bCs/>
          <w:i w:val="0"/>
          <w:iCs w:val="0"/>
          <w:caps w:val="0"/>
          <w:color w:val="121212"/>
          <w:spacing w:val="0"/>
          <w:sz w:val="32"/>
          <w:szCs w:val="32"/>
          <w:shd w:val="clear" w:color="auto" w:fill="FFFFFF"/>
          <w:lang w:val="en-US" w:eastAsia="zh-CN"/>
        </w:rPr>
        <w:t>三是</w:t>
      </w:r>
      <w:r>
        <w:rPr>
          <w:rFonts w:hint="eastAsia" w:ascii="仿宋_GB2312" w:hAnsi="仿宋_GB2312" w:eastAsia="仿宋_GB2312" w:cs="仿宋_GB2312"/>
          <w:i w:val="0"/>
          <w:iCs w:val="0"/>
          <w:caps w:val="0"/>
          <w:color w:val="121212"/>
          <w:spacing w:val="0"/>
          <w:sz w:val="32"/>
          <w:szCs w:val="32"/>
          <w:shd w:val="clear" w:color="auto" w:fill="FFFFFF"/>
          <w:lang w:val="en-US" w:eastAsia="zh-CN"/>
        </w:rPr>
        <w:t>强化督查考核与责任落实。</w:t>
      </w:r>
      <w:r>
        <w:rPr>
          <w:rFonts w:hint="eastAsia" w:ascii="Times New Roman" w:hAnsi="Times New Roman" w:eastAsia="仿宋_GB2312" w:cs="Times New Roman"/>
          <w:spacing w:val="0"/>
          <w:sz w:val="32"/>
          <w:szCs w:val="32"/>
          <w:lang w:val="en-US" w:eastAsia="zh-CN"/>
        </w:rPr>
        <w:t>中心坚持将法治政府建设与业务工作同谋划、同部署、同推进、同考核、同奖惩，把法治建设成效作为衡量领导班子和干部职工工作实绩的重要内容。严格落实“党政同责、一岗双责、齐抓共管、失职追责”的工作要求，构建主要领导负总责、分管领导具体抓、各科室（部）各司其职、全员共同参与的法治建设责任体系。</w:t>
      </w:r>
    </w:p>
    <w:p w14:paraId="002C49C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楷体" w:cs="楷体"/>
          <w:b w:val="0"/>
          <w:bCs w:val="0"/>
          <w:spacing w:val="0"/>
          <w:sz w:val="32"/>
          <w:szCs w:val="32"/>
          <w:highlight w:val="none"/>
          <w:lang w:val="en-US" w:eastAsia="zh-CN"/>
        </w:rPr>
      </w:pPr>
      <w:r>
        <w:rPr>
          <w:rFonts w:hint="eastAsia" w:ascii="Times New Roman" w:hAnsi="Times New Roman" w:eastAsia="楷体" w:cs="楷体"/>
          <w:b w:val="0"/>
          <w:bCs w:val="0"/>
          <w:spacing w:val="0"/>
          <w:kern w:val="2"/>
          <w:sz w:val="32"/>
          <w:szCs w:val="32"/>
          <w:lang w:val="en-US" w:eastAsia="zh-CN" w:bidi="ar-SA"/>
        </w:rPr>
        <w:t>（二）</w:t>
      </w:r>
      <w:r>
        <w:rPr>
          <w:rFonts w:hint="eastAsia" w:ascii="Times New Roman" w:hAnsi="Times New Roman" w:eastAsia="楷体" w:cs="楷体"/>
          <w:b w:val="0"/>
          <w:bCs w:val="0"/>
          <w:spacing w:val="0"/>
          <w:sz w:val="32"/>
          <w:szCs w:val="32"/>
          <w:highlight w:val="none"/>
          <w:lang w:val="en-US" w:eastAsia="zh-CN"/>
        </w:rPr>
        <w:t>强化法治理论学习，夯实法治思想根基</w:t>
      </w:r>
    </w:p>
    <w:p w14:paraId="64788CAE">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一是</w:t>
      </w:r>
      <w:r>
        <w:rPr>
          <w:rFonts w:hint="eastAsia" w:ascii="Times New Roman" w:hAnsi="Times New Roman" w:eastAsia="仿宋_GB2312" w:cs="Times New Roman"/>
          <w:spacing w:val="0"/>
          <w:sz w:val="32"/>
          <w:szCs w:val="32"/>
          <w:lang w:val="en-US" w:eastAsia="zh-CN"/>
        </w:rPr>
        <w:t>坚持把习近平法治思想作为首要学习内容。中心始终将学习贯彻习近平法治思想摆在法治政府建设的核心位置，</w:t>
      </w:r>
      <w:r>
        <w:rPr>
          <w:rFonts w:hint="eastAsia" w:ascii="仿宋_GB2312" w:hAnsi="仿宋_GB2312" w:eastAsia="仿宋_GB2312" w:cs="仿宋_GB2312"/>
          <w:i w:val="0"/>
          <w:iCs w:val="0"/>
          <w:caps w:val="0"/>
          <w:color w:val="121212"/>
          <w:spacing w:val="0"/>
          <w:sz w:val="32"/>
          <w:szCs w:val="32"/>
          <w:shd w:val="clear" w:color="auto" w:fill="FFFFFF"/>
          <w:lang w:val="en-US" w:eastAsia="zh-CN"/>
        </w:rPr>
        <w:t>通过</w:t>
      </w:r>
      <w:r>
        <w:rPr>
          <w:rFonts w:hint="eastAsia" w:ascii="Times New Roman" w:hAnsi="Times New Roman" w:eastAsia="仿宋_GB2312" w:cs="Times New Roman"/>
          <w:spacing w:val="0"/>
          <w:sz w:val="32"/>
          <w:szCs w:val="32"/>
          <w:lang w:val="en-US" w:eastAsia="zh-CN"/>
        </w:rPr>
        <w:t>党组理论学习中心组</w:t>
      </w:r>
      <w:r>
        <w:rPr>
          <w:rFonts w:hint="eastAsia" w:ascii="仿宋_GB2312" w:hAnsi="仿宋_GB2312" w:eastAsia="仿宋_GB2312" w:cs="仿宋_GB2312"/>
          <w:i w:val="0"/>
          <w:iCs w:val="0"/>
          <w:caps w:val="0"/>
          <w:color w:val="121212"/>
          <w:spacing w:val="0"/>
          <w:sz w:val="32"/>
          <w:szCs w:val="32"/>
          <w:shd w:val="clear" w:color="auto" w:fill="FFFFFF"/>
          <w:lang w:val="en-US" w:eastAsia="zh-CN"/>
        </w:rPr>
        <w:t>学习会、</w:t>
      </w:r>
      <w:r>
        <w:rPr>
          <w:rFonts w:hint="eastAsia" w:ascii="Times New Roman" w:hAnsi="Times New Roman" w:eastAsia="仿宋_GB2312" w:cs="Times New Roman"/>
          <w:spacing w:val="0"/>
          <w:sz w:val="32"/>
          <w:szCs w:val="32"/>
          <w:lang w:val="en-US" w:eastAsia="zh-CN"/>
        </w:rPr>
        <w:t>党支部“三会一课”、全体职工学习会</w:t>
      </w:r>
      <w:r>
        <w:rPr>
          <w:rFonts w:hint="eastAsia" w:ascii="仿宋_GB2312" w:hAnsi="仿宋_GB2312" w:eastAsia="仿宋_GB2312" w:cs="仿宋_GB2312"/>
          <w:i w:val="0"/>
          <w:iCs w:val="0"/>
          <w:caps w:val="0"/>
          <w:color w:val="121212"/>
          <w:spacing w:val="0"/>
          <w:sz w:val="32"/>
          <w:szCs w:val="32"/>
          <w:shd w:val="clear" w:color="auto" w:fill="FFFFFF"/>
          <w:lang w:val="en-US" w:eastAsia="zh-CN"/>
        </w:rPr>
        <w:t>以及学习强国、干部网络在线学习等平台，</w:t>
      </w:r>
      <w:r>
        <w:rPr>
          <w:rFonts w:hint="eastAsia" w:ascii="Times New Roman" w:hAnsi="Times New Roman" w:eastAsia="仿宋_GB2312" w:cs="仿宋_GB2312"/>
          <w:b w:val="0"/>
          <w:bCs/>
          <w:color w:val="auto"/>
          <w:kern w:val="2"/>
          <w:sz w:val="32"/>
          <w:szCs w:val="32"/>
          <w:highlight w:val="none"/>
          <w:lang w:val="en-US" w:eastAsia="zh-CN" w:bidi="ar-SA"/>
        </w:rPr>
        <w:t>深入学习贯彻</w:t>
      </w:r>
      <w:r>
        <w:rPr>
          <w:rFonts w:hint="eastAsia" w:ascii="仿宋_GB2312" w:hAnsi="仿宋_GB2312" w:eastAsia="仿宋_GB2312" w:cs="仿宋_GB2312"/>
          <w:i w:val="0"/>
          <w:iCs w:val="0"/>
          <w:caps w:val="0"/>
          <w:color w:val="121212"/>
          <w:spacing w:val="0"/>
          <w:sz w:val="32"/>
          <w:szCs w:val="32"/>
          <w:shd w:val="clear" w:color="auto" w:fill="FFFFFF"/>
          <w:lang w:val="en-US" w:eastAsia="zh-CN"/>
        </w:rPr>
        <w:t>习近平法治思想和习近平总书记视察安徽重要讲话、重要指示精神，组织全体职工集体学习</w:t>
      </w:r>
      <w:r>
        <w:rPr>
          <w:rFonts w:hint="eastAsia" w:ascii="Times New Roman" w:hAnsi="Times New Roman" w:eastAsia="仿宋_GB2312" w:cs="Times New Roman"/>
          <w:spacing w:val="0"/>
          <w:sz w:val="32"/>
          <w:szCs w:val="32"/>
          <w:lang w:val="en-US" w:eastAsia="zh-CN"/>
        </w:rPr>
        <w:t>《中华人民共和国宪法》</w:t>
      </w:r>
      <w:r>
        <w:rPr>
          <w:rFonts w:hint="eastAsia" w:ascii="仿宋_GB2312" w:hAnsi="仿宋_GB2312" w:eastAsia="仿宋_GB2312" w:cs="仿宋_GB2312"/>
          <w:i w:val="0"/>
          <w:iCs w:val="0"/>
          <w:caps w:val="0"/>
          <w:color w:val="121212"/>
          <w:spacing w:val="0"/>
          <w:sz w:val="32"/>
          <w:szCs w:val="32"/>
          <w:shd w:val="clear" w:color="auto" w:fill="FFFFFF"/>
          <w:lang w:val="en-US" w:eastAsia="zh-CN"/>
        </w:rPr>
        <w:t>《中华人民共和国民法典》《中华人民共和国国家安全法》《中华人民共和国保守国家秘密法》</w:t>
      </w:r>
      <w:r>
        <w:rPr>
          <w:rFonts w:hint="eastAsia" w:ascii="Times New Roman" w:hAnsi="Times New Roman" w:eastAsia="仿宋_GB2312" w:cs="Times New Roman"/>
          <w:spacing w:val="0"/>
          <w:sz w:val="32"/>
          <w:szCs w:val="32"/>
          <w:lang w:val="en-US" w:eastAsia="zh-CN"/>
        </w:rPr>
        <w:t>《住房公积金管理条例》《信访工作条例》</w:t>
      </w:r>
      <w:r>
        <w:rPr>
          <w:rFonts w:hint="eastAsia" w:ascii="仿宋_GB2312" w:hAnsi="仿宋_GB2312" w:eastAsia="仿宋_GB2312" w:cs="仿宋_GB2312"/>
          <w:i w:val="0"/>
          <w:iCs w:val="0"/>
          <w:caps w:val="0"/>
          <w:color w:val="121212"/>
          <w:spacing w:val="0"/>
          <w:sz w:val="32"/>
          <w:szCs w:val="32"/>
          <w:shd w:val="clear" w:color="auto" w:fill="FFFFFF"/>
          <w:lang w:val="en-US" w:eastAsia="zh-CN"/>
        </w:rPr>
        <w:t>等法律法规。</w:t>
      </w:r>
      <w:r>
        <w:rPr>
          <w:rFonts w:hint="eastAsia" w:ascii="Times New Roman" w:hAnsi="Times New Roman" w:eastAsia="仿宋_GB2312" w:cs="仿宋_GB2312"/>
          <w:kern w:val="0"/>
          <w:sz w:val="32"/>
          <w:szCs w:val="40"/>
          <w:highlight w:val="none"/>
          <w:shd w:val="clear" w:color="auto" w:fill="auto"/>
          <w:lang w:val="en-US" w:eastAsia="zh-CN" w:bidi="ar"/>
        </w:rPr>
        <w:t>全年通过党组理论学习中心组学习习近平法治思想2次、党组书记上法治课2次、观看法律专题教育片4次，</w:t>
      </w:r>
      <w:r>
        <w:rPr>
          <w:rFonts w:hint="eastAsia" w:ascii="Times New Roman" w:hAnsi="Times New Roman" w:eastAsia="仿宋_GB2312" w:cs="Times New Roman"/>
          <w:spacing w:val="0"/>
          <w:sz w:val="32"/>
          <w:szCs w:val="32"/>
          <w:lang w:val="en-US" w:eastAsia="zh-CN"/>
        </w:rPr>
        <w:t>实现领导干部带头学、党员干部跟进学、全体职工覆盖学，切实把学习成果转化为推进法治政府建设的工作思路和实际行动。</w:t>
      </w:r>
      <w:r>
        <w:rPr>
          <w:rFonts w:hint="eastAsia" w:ascii="Times New Roman" w:hAnsi="Times New Roman" w:eastAsia="仿宋_GB2312" w:cs="Times New Roman"/>
          <w:b/>
          <w:bCs/>
          <w:spacing w:val="0"/>
          <w:sz w:val="32"/>
          <w:szCs w:val="32"/>
          <w:lang w:val="en-US" w:eastAsia="zh-CN"/>
        </w:rPr>
        <w:t>二是</w:t>
      </w:r>
      <w:r>
        <w:rPr>
          <w:rFonts w:hint="eastAsia" w:ascii="Times New Roman" w:hAnsi="Times New Roman" w:eastAsia="仿宋_GB2312" w:cs="Times New Roman"/>
          <w:spacing w:val="0"/>
          <w:sz w:val="32"/>
          <w:szCs w:val="32"/>
          <w:lang w:val="en-US" w:eastAsia="zh-CN"/>
        </w:rPr>
        <w:t>聚焦业务融合开展多维度法治学习。围绕住房公积金归集、提取、贷款、稽核、风险防控等关键环节，邀请法律顾问开展专题授课。重点讲解投诉举报处理、规范性文件制定、行政程序规范等内容，推动法治学习与公积金业务深度融合，切实提升一线工作人员依法办事、依法服务、依法管理的能力；</w:t>
      </w:r>
      <w:r>
        <w:rPr>
          <w:rFonts w:hint="eastAsia" w:ascii="Times New Roman" w:hAnsi="Times New Roman" w:eastAsia="仿宋_GB2312" w:cs="仿宋_GB2312"/>
          <w:kern w:val="0"/>
          <w:sz w:val="32"/>
          <w:szCs w:val="40"/>
          <w:highlight w:val="none"/>
          <w:shd w:val="clear" w:color="auto" w:fill="auto"/>
          <w:lang w:val="en-US" w:eastAsia="zh-CN" w:bidi="ar"/>
        </w:rPr>
        <w:t>组织职工体验现场庭审，</w:t>
      </w:r>
      <w:r>
        <w:rPr>
          <w:rFonts w:hint="eastAsia" w:ascii="仿宋_GB2312" w:hAnsi="仿宋_GB2312" w:eastAsia="仿宋_GB2312" w:cs="仿宋_GB2312"/>
          <w:i w:val="0"/>
          <w:iCs w:val="0"/>
          <w:caps w:val="0"/>
          <w:color w:val="121212"/>
          <w:spacing w:val="0"/>
          <w:sz w:val="32"/>
          <w:szCs w:val="32"/>
          <w:shd w:val="clear" w:color="auto" w:fill="FFFFFF"/>
          <w:lang w:val="en-US" w:eastAsia="zh-CN"/>
        </w:rPr>
        <w:t>将廉政警示教育与法治宣传教育相结合，时刻绷紧纪律之弦</w:t>
      </w:r>
      <w:r>
        <w:rPr>
          <w:rFonts w:hint="eastAsia" w:ascii="Times New Roman" w:hAnsi="Times New Roman" w:eastAsia="仿宋_GB2312" w:cs="仿宋_GB2312"/>
          <w:kern w:val="0"/>
          <w:sz w:val="32"/>
          <w:szCs w:val="40"/>
          <w:highlight w:val="none"/>
          <w:shd w:val="clear" w:color="auto" w:fill="auto"/>
          <w:lang w:val="en-US" w:eastAsia="zh-CN" w:bidi="ar"/>
        </w:rPr>
        <w:t>；积极参加宪法在线学习及测试，推动干部职工增强法律意识，自觉守法用法，持续筑牢法治之基。</w:t>
      </w:r>
    </w:p>
    <w:p w14:paraId="4395805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楷体" w:cs="楷体"/>
          <w:b w:val="0"/>
          <w:bCs w:val="0"/>
          <w:spacing w:val="0"/>
          <w:kern w:val="2"/>
          <w:sz w:val="32"/>
          <w:szCs w:val="32"/>
          <w:lang w:val="en-US" w:eastAsia="zh-CN" w:bidi="ar-SA"/>
        </w:rPr>
      </w:pPr>
      <w:r>
        <w:rPr>
          <w:rFonts w:hint="eastAsia" w:ascii="Times New Roman" w:hAnsi="Times New Roman" w:eastAsia="楷体" w:cs="楷体"/>
          <w:b w:val="0"/>
          <w:bCs w:val="0"/>
          <w:spacing w:val="0"/>
          <w:kern w:val="2"/>
          <w:sz w:val="32"/>
          <w:szCs w:val="32"/>
          <w:lang w:val="en-US" w:eastAsia="zh-CN" w:bidi="ar-SA"/>
        </w:rPr>
        <w:t>（三）切实履行推进法治政府建设第一责任人职责</w:t>
      </w:r>
    </w:p>
    <w:p w14:paraId="763E1286">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中心主要负责同志认真履行法治政府建设第一责任人职责，通过召开党组会议、主任办公会议等形式，及时传达学习上级关于法治政府建设的部署要求，听取法治政府建设工作情况，研究解决重点难点问题。健全领导干部学法用法机制，主持党组理论学习中心组法治专题学习，带头讲授法治课，组织参加宪法法律知识测试和现场庭审观摩，不断提升运用法治思维和法治方式履职尽责能力。聚焦依法履职、依法决策、依法办事，严格执行重大行政决策合法性审查，推动依法行政贯穿业务全流程，切实以法治保障公积金事业规范健康发展。</w:t>
      </w:r>
    </w:p>
    <w:p w14:paraId="47C1D7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楷体" w:cs="楷体"/>
          <w:b w:val="0"/>
          <w:bCs w:val="0"/>
          <w:spacing w:val="0"/>
          <w:kern w:val="2"/>
          <w:sz w:val="32"/>
          <w:szCs w:val="32"/>
          <w:lang w:val="en-US" w:eastAsia="zh-CN" w:bidi="ar-SA"/>
        </w:rPr>
      </w:pPr>
      <w:r>
        <w:rPr>
          <w:rFonts w:hint="eastAsia" w:ascii="Times New Roman" w:hAnsi="Times New Roman" w:eastAsia="楷体" w:cs="楷体"/>
          <w:b w:val="0"/>
          <w:bCs w:val="0"/>
          <w:spacing w:val="0"/>
          <w:kern w:val="2"/>
          <w:sz w:val="32"/>
          <w:szCs w:val="32"/>
          <w:lang w:val="en-US" w:eastAsia="zh-CN" w:bidi="ar-SA"/>
        </w:rPr>
        <w:t>（四）抓实普法宣传与依法行政，提升依法治理效能</w:t>
      </w:r>
    </w:p>
    <w:p w14:paraId="146AEB00">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一是</w:t>
      </w:r>
      <w:r>
        <w:rPr>
          <w:rFonts w:hint="eastAsia" w:ascii="Times New Roman" w:hAnsi="Times New Roman" w:eastAsia="仿宋_GB2312" w:cs="Times New Roman"/>
          <w:spacing w:val="0"/>
          <w:sz w:val="32"/>
          <w:szCs w:val="32"/>
          <w:lang w:val="en-US" w:eastAsia="zh-CN"/>
        </w:rPr>
        <w:t>聚焦普法宣传，提高工作质效。坚持“谁主管谁普法、谁服务谁普法”原则，结合住房公积金行业特点和群众需求，依托宪法宣传周、民法典宣传月、“三八”维权月、为民办实事等重要节点，</w:t>
      </w:r>
      <w:r>
        <w:rPr>
          <w:rFonts w:hint="eastAsia" w:ascii="Times New Roman" w:hAnsi="Times New Roman" w:eastAsia="仿宋_GB2312" w:cs="仿宋_GB2312"/>
          <w:kern w:val="0"/>
          <w:sz w:val="32"/>
          <w:szCs w:val="40"/>
          <w:highlight w:val="none"/>
          <w:shd w:val="clear" w:color="auto" w:fill="auto"/>
          <w:lang w:val="en-US" w:eastAsia="zh-CN" w:bidi="ar"/>
        </w:rPr>
        <w:t>组织干部职工进企业、社区、学校</w:t>
      </w:r>
      <w:r>
        <w:rPr>
          <w:rFonts w:hint="eastAsia" w:ascii="Times New Roman" w:hAnsi="Times New Roman" w:eastAsia="仿宋_GB2312" w:cs="Times New Roman"/>
          <w:spacing w:val="0"/>
          <w:sz w:val="32"/>
          <w:szCs w:val="32"/>
          <w:lang w:val="en-US" w:eastAsia="zh-CN"/>
        </w:rPr>
        <w:t>常态化</w:t>
      </w:r>
      <w:r>
        <w:rPr>
          <w:rFonts w:hint="eastAsia" w:ascii="Times New Roman" w:hAnsi="Times New Roman" w:eastAsia="仿宋_GB2312" w:cs="仿宋_GB2312"/>
          <w:kern w:val="0"/>
          <w:sz w:val="32"/>
          <w:szCs w:val="40"/>
          <w:highlight w:val="none"/>
          <w:shd w:val="clear" w:color="auto" w:fill="auto"/>
          <w:lang w:val="en-US" w:eastAsia="zh-CN" w:bidi="ar"/>
        </w:rPr>
        <w:t>推进宪法和民法典宣传，</w:t>
      </w:r>
      <w:r>
        <w:rPr>
          <w:rFonts w:hint="eastAsia" w:ascii="Times New Roman" w:hAnsi="Times New Roman" w:eastAsia="仿宋_GB2312" w:cs="Times New Roman"/>
          <w:spacing w:val="0"/>
          <w:sz w:val="32"/>
          <w:szCs w:val="32"/>
          <w:lang w:val="en-US" w:eastAsia="zh-CN"/>
        </w:rPr>
        <w:t>集中学习宣传</w:t>
      </w:r>
      <w:r>
        <w:rPr>
          <w:rFonts w:hint="eastAsia" w:ascii="仿宋_GB2312" w:hAnsi="仿宋_GB2312" w:eastAsia="仿宋_GB2312" w:cs="仿宋_GB2312"/>
          <w:i w:val="0"/>
          <w:iCs w:val="0"/>
          <w:caps w:val="0"/>
          <w:color w:val="121212"/>
          <w:spacing w:val="0"/>
          <w:sz w:val="32"/>
          <w:szCs w:val="32"/>
          <w:shd w:val="clear" w:color="auto" w:fill="FFFFFF"/>
          <w:lang w:val="en-US" w:eastAsia="zh-CN"/>
        </w:rPr>
        <w:t>《中华人民共和国宪法》、《民法典》、《</w:t>
      </w:r>
      <w:r>
        <w:rPr>
          <w:rFonts w:hint="eastAsia" w:ascii="仿宋_GB2312" w:hAnsi="仿宋_GB2312" w:eastAsia="仿宋_GB2312" w:cs="仿宋_GB2312"/>
          <w:i w:val="0"/>
          <w:iCs w:val="0"/>
          <w:caps w:val="0"/>
          <w:color w:val="121212"/>
          <w:spacing w:val="0"/>
          <w:kern w:val="2"/>
          <w:sz w:val="32"/>
          <w:szCs w:val="32"/>
          <w:shd w:val="clear" w:color="auto" w:fill="FFFFFF"/>
          <w:lang w:val="en-US" w:eastAsia="zh-CN" w:bidi="ar-SA"/>
        </w:rPr>
        <w:t>中华人民共和国保守国家秘密法</w:t>
      </w:r>
      <w:r>
        <w:rPr>
          <w:rFonts w:hint="eastAsia" w:ascii="仿宋_GB2312" w:hAnsi="仿宋_GB2312" w:eastAsia="仿宋_GB2312" w:cs="仿宋_GB2312"/>
          <w:i w:val="0"/>
          <w:iCs w:val="0"/>
          <w:caps w:val="0"/>
          <w:color w:val="121212"/>
          <w:spacing w:val="0"/>
          <w:sz w:val="32"/>
          <w:szCs w:val="32"/>
          <w:shd w:val="clear" w:color="auto" w:fill="FFFFFF"/>
          <w:lang w:val="en-US" w:eastAsia="zh-CN"/>
        </w:rPr>
        <w:t>》、</w:t>
      </w:r>
      <w:r>
        <w:rPr>
          <w:rFonts w:hint="eastAsia" w:ascii="仿宋_GB2312" w:hAnsi="仿宋_GB2312" w:eastAsia="仿宋_GB2312" w:cs="仿宋_GB2312"/>
          <w:i w:val="0"/>
          <w:iCs w:val="0"/>
          <w:caps w:val="0"/>
          <w:color w:val="121212"/>
          <w:spacing w:val="0"/>
          <w:kern w:val="2"/>
          <w:sz w:val="32"/>
          <w:szCs w:val="32"/>
          <w:shd w:val="clear" w:color="auto" w:fill="FFFFFF"/>
          <w:lang w:val="en-US" w:eastAsia="zh-CN" w:bidi="ar-SA"/>
        </w:rPr>
        <w:t>《中华人民共和国反家庭暴力法》等相关法律法规，全年扎实开展各类普法宣传活动</w:t>
      </w:r>
      <w:r>
        <w:rPr>
          <w:rFonts w:hint="eastAsia" w:ascii="Times New Roman" w:hAnsi="Times New Roman" w:eastAsia="仿宋_GB2312" w:cs="仿宋_GB2312"/>
          <w:color w:val="auto"/>
          <w:kern w:val="0"/>
          <w:sz w:val="32"/>
          <w:szCs w:val="40"/>
          <w:highlight w:val="none"/>
          <w:shd w:val="clear" w:color="auto" w:fill="auto"/>
          <w:lang w:val="en-US" w:eastAsia="zh-CN" w:bidi="ar"/>
        </w:rPr>
        <w:t>10余次，发放普法宣传材料500余份，覆盖干部群众700余人次。通过中心</w:t>
      </w:r>
      <w:r>
        <w:rPr>
          <w:rFonts w:hint="eastAsia" w:ascii="Times New Roman" w:hAnsi="Times New Roman" w:eastAsia="仿宋_GB2312" w:cs="仿宋_GB2312"/>
          <w:kern w:val="0"/>
          <w:sz w:val="32"/>
          <w:szCs w:val="40"/>
          <w:highlight w:val="none"/>
          <w:shd w:val="clear" w:color="auto" w:fill="auto"/>
          <w:lang w:val="en-US" w:eastAsia="zh-CN" w:bidi="ar"/>
        </w:rPr>
        <w:t>官网、公众号等媒体平台发布及转载各类普法信息，加强习近平法治思想大众化传播，</w:t>
      </w:r>
      <w:r>
        <w:rPr>
          <w:rFonts w:hint="eastAsia" w:ascii="Times New Roman" w:hAnsi="Times New Roman" w:eastAsia="仿宋_GB2312" w:cs="Times New Roman"/>
          <w:spacing w:val="0"/>
          <w:sz w:val="32"/>
          <w:szCs w:val="32"/>
          <w:lang w:val="en-US" w:eastAsia="zh-CN"/>
        </w:rPr>
        <w:t>营造全社会关心、支持、参与法治建设的良好氛围，推动公积金法治宣传走深走实。</w:t>
      </w:r>
      <w:r>
        <w:rPr>
          <w:rFonts w:hint="eastAsia" w:ascii="Times New Roman" w:hAnsi="Times New Roman" w:eastAsia="仿宋_GB2312" w:cs="Times New Roman"/>
          <w:b/>
          <w:bCs/>
          <w:spacing w:val="0"/>
          <w:sz w:val="32"/>
          <w:szCs w:val="32"/>
          <w:lang w:val="en-US" w:eastAsia="zh-CN"/>
        </w:rPr>
        <w:t>二是</w:t>
      </w:r>
      <w:r>
        <w:rPr>
          <w:rFonts w:hint="eastAsia" w:ascii="Times New Roman" w:hAnsi="Times New Roman" w:eastAsia="仿宋_GB2312" w:cs="Times New Roman"/>
          <w:spacing w:val="0"/>
          <w:sz w:val="32"/>
          <w:szCs w:val="32"/>
          <w:lang w:val="en-US" w:eastAsia="zh-CN"/>
        </w:rPr>
        <w:t>坚持依法行政，优化营商环境。严格按照法定权限和程序履行职责，全面梳理行政权力事项、公共服务事项，明确办事流程、办理时限、申请材料；持续完善内部管理制度，修订《廉政风险防控手册》，形成用制度管权、管事、管人的长效机制，做到法无授权不可为、法定职责必须为。持续深化“放管服”改革，推进公积金业务“一网通办、掌上办、就近办、跨省通办”，创新审批模式，精简证明材料、压缩办理时限、提升服务效率，依法保障缴存企业和职工合法权益。</w:t>
      </w:r>
      <w:r>
        <w:rPr>
          <w:rFonts w:hint="eastAsia" w:ascii="Times New Roman" w:hAnsi="Times New Roman" w:eastAsia="仿宋_GB2312" w:cs="Times New Roman"/>
          <w:b/>
          <w:bCs/>
          <w:spacing w:val="0"/>
          <w:sz w:val="32"/>
          <w:szCs w:val="32"/>
          <w:lang w:val="en-US" w:eastAsia="zh-CN"/>
        </w:rPr>
        <w:t>三是</w:t>
      </w:r>
      <w:r>
        <w:rPr>
          <w:rFonts w:hint="eastAsia" w:ascii="Times New Roman" w:hAnsi="Times New Roman" w:eastAsia="仿宋_GB2312" w:cs="Times New Roman"/>
          <w:spacing w:val="0"/>
          <w:sz w:val="32"/>
          <w:szCs w:val="32"/>
          <w:lang w:val="en-US" w:eastAsia="zh-CN"/>
        </w:rPr>
        <w:t>强化服务举措，健全矛盾化解机制。依法依规处理群众投诉、举报、咨询和信访事项，完善投诉受理、调查、办理、反馈全流程机制，</w:t>
      </w:r>
      <w:r>
        <w:rPr>
          <w:rFonts w:hint="eastAsia" w:ascii="Times New Roman" w:hAnsi="Times New Roman" w:eastAsia="仿宋_GB2312" w:cs="仿宋_GB2312"/>
          <w:color w:val="auto"/>
          <w:kern w:val="0"/>
          <w:sz w:val="32"/>
          <w:szCs w:val="40"/>
          <w:highlight w:val="none"/>
          <w:shd w:val="clear" w:color="auto" w:fill="auto"/>
          <w:lang w:val="en-US" w:eastAsia="zh-CN" w:bidi="ar"/>
        </w:rPr>
        <w:t>全年</w:t>
      </w:r>
      <w:r>
        <w:rPr>
          <w:rFonts w:hint="default" w:ascii="Times New Roman" w:hAnsi="Times New Roman" w:eastAsia="仿宋_GB2312" w:cs="仿宋_GB2312"/>
          <w:color w:val="auto"/>
          <w:kern w:val="0"/>
          <w:sz w:val="32"/>
          <w:szCs w:val="40"/>
          <w:highlight w:val="none"/>
          <w:shd w:val="clear" w:color="auto" w:fill="auto"/>
          <w:lang w:val="en-US" w:eastAsia="zh-CN" w:bidi="ar"/>
        </w:rPr>
        <w:t>有效处置信访件</w:t>
      </w:r>
      <w:r>
        <w:rPr>
          <w:rFonts w:hint="eastAsia" w:ascii="Times New Roman" w:hAnsi="Times New Roman" w:eastAsia="仿宋_GB2312" w:cs="仿宋_GB2312"/>
          <w:color w:val="auto"/>
          <w:kern w:val="0"/>
          <w:sz w:val="32"/>
          <w:szCs w:val="40"/>
          <w:highlight w:val="none"/>
          <w:shd w:val="clear" w:color="auto" w:fill="auto"/>
          <w:lang w:val="en-US" w:eastAsia="zh-CN" w:bidi="ar"/>
        </w:rPr>
        <w:t>12</w:t>
      </w:r>
      <w:r>
        <w:rPr>
          <w:rFonts w:hint="default" w:ascii="Times New Roman" w:hAnsi="Times New Roman" w:eastAsia="仿宋_GB2312" w:cs="仿宋_GB2312"/>
          <w:color w:val="auto"/>
          <w:kern w:val="0"/>
          <w:sz w:val="32"/>
          <w:szCs w:val="40"/>
          <w:highlight w:val="none"/>
          <w:shd w:val="clear" w:color="auto" w:fill="auto"/>
          <w:lang w:val="en-US" w:eastAsia="zh-CN" w:bidi="ar"/>
        </w:rPr>
        <w:t>起</w:t>
      </w:r>
      <w:r>
        <w:rPr>
          <w:rFonts w:hint="eastAsia" w:ascii="Times New Roman" w:hAnsi="Times New Roman" w:eastAsia="仿宋_GB2312" w:cs="仿宋_GB2312"/>
          <w:color w:val="auto"/>
          <w:kern w:val="0"/>
          <w:sz w:val="32"/>
          <w:szCs w:val="40"/>
          <w:highlight w:val="none"/>
          <w:shd w:val="clear" w:color="auto" w:fill="auto"/>
          <w:lang w:val="en-US" w:eastAsia="zh-CN" w:bidi="ar"/>
        </w:rPr>
        <w:t>，</w:t>
      </w:r>
      <w:r>
        <w:rPr>
          <w:rFonts w:hint="eastAsia" w:ascii="Times New Roman" w:hAnsi="Times New Roman" w:eastAsia="仿宋_GB2312" w:cs="Times New Roman"/>
          <w:spacing w:val="0"/>
          <w:sz w:val="32"/>
          <w:szCs w:val="32"/>
          <w:lang w:val="en-US" w:eastAsia="zh-CN"/>
        </w:rPr>
        <w:t>积极运用法治方式化解业务纠纷、服务矛盾，</w:t>
      </w:r>
      <w:r>
        <w:rPr>
          <w:rFonts w:hint="eastAsia" w:ascii="Times New Roman" w:hAnsi="Times New Roman" w:eastAsia="仿宋_GB2312" w:cs="仿宋_GB2312"/>
          <w:kern w:val="0"/>
          <w:sz w:val="32"/>
          <w:szCs w:val="40"/>
          <w:highlight w:val="none"/>
          <w:shd w:val="clear" w:color="auto" w:fill="auto"/>
          <w:lang w:val="en-US" w:eastAsia="zh-CN" w:bidi="ar"/>
        </w:rPr>
        <w:t>为群众排忧解难，维护缴存职工合</w:t>
      </w:r>
      <w:r>
        <w:rPr>
          <w:rFonts w:hint="eastAsia" w:ascii="Times New Roman" w:hAnsi="Times New Roman" w:eastAsia="仿宋_GB2312" w:cs="Times New Roman"/>
          <w:spacing w:val="0"/>
          <w:sz w:val="32"/>
          <w:szCs w:val="32"/>
          <w:lang w:val="en-US" w:eastAsia="zh-CN"/>
        </w:rPr>
        <w:t>法</w:t>
      </w:r>
      <w:r>
        <w:rPr>
          <w:rFonts w:hint="eastAsia" w:ascii="Times New Roman" w:hAnsi="Times New Roman" w:eastAsia="仿宋_GB2312" w:cs="仿宋_GB2312"/>
          <w:kern w:val="0"/>
          <w:sz w:val="32"/>
          <w:szCs w:val="40"/>
          <w:highlight w:val="none"/>
          <w:shd w:val="clear" w:color="auto" w:fill="auto"/>
          <w:lang w:val="en-US" w:eastAsia="zh-CN" w:bidi="ar"/>
        </w:rPr>
        <w:t>权益，营造规范和谐的信访环境</w:t>
      </w:r>
      <w:r>
        <w:rPr>
          <w:rFonts w:hint="default" w:ascii="Times New Roman" w:hAnsi="Times New Roman" w:eastAsia="仿宋_GB2312" w:cs="仿宋_GB2312"/>
          <w:kern w:val="0"/>
          <w:sz w:val="32"/>
          <w:szCs w:val="40"/>
          <w:highlight w:val="none"/>
          <w:shd w:val="clear" w:color="auto" w:fill="auto"/>
          <w:lang w:val="en-US" w:eastAsia="zh-CN" w:bidi="ar"/>
        </w:rPr>
        <w:t>。</w:t>
      </w:r>
      <w:r>
        <w:rPr>
          <w:rFonts w:hint="eastAsia" w:ascii="Times New Roman" w:hAnsi="Times New Roman" w:eastAsia="仿宋_GB2312" w:cs="Times New Roman"/>
          <w:b/>
          <w:bCs/>
          <w:spacing w:val="0"/>
          <w:sz w:val="32"/>
          <w:szCs w:val="32"/>
          <w:lang w:val="en-US" w:eastAsia="zh-CN"/>
        </w:rPr>
        <w:t>四是</w:t>
      </w:r>
      <w:r>
        <w:rPr>
          <w:rFonts w:hint="eastAsia" w:ascii="Times New Roman" w:hAnsi="Times New Roman" w:eastAsia="仿宋_GB2312" w:cs="Times New Roman"/>
          <w:spacing w:val="0"/>
          <w:sz w:val="32"/>
          <w:szCs w:val="32"/>
          <w:lang w:val="en-US" w:eastAsia="zh-CN"/>
        </w:rPr>
        <w:t>聘请法律顾问，强化法治支撑。充分发挥法律顾问作用，在重大决策、合同审查、政策解读等方面提供专业法律意见，不断提升法治工作专业化、规范化水平。</w:t>
      </w:r>
    </w:p>
    <w:p w14:paraId="56A89F2E">
      <w:pPr>
        <w:pStyle w:val="3"/>
        <w:keepNext w:val="0"/>
        <w:keepLines w:val="0"/>
        <w:pageBreakBefore w:val="0"/>
        <w:numPr>
          <w:ilvl w:val="0"/>
          <w:numId w:val="0"/>
        </w:numPr>
        <w:kinsoku/>
        <w:wordWrap/>
        <w:overflowPunct/>
        <w:topLinePunct w:val="0"/>
        <w:autoSpaceDE/>
        <w:autoSpaceDN/>
        <w:bidi w:val="0"/>
        <w:adjustRightInd/>
        <w:snapToGrid/>
        <w:spacing w:line="520" w:lineRule="exact"/>
        <w:ind w:leftChars="200" w:firstLine="320" w:firstLineChars="1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二、存在的问题与不足</w:t>
      </w:r>
    </w:p>
    <w:p w14:paraId="0EE96AF8">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楷体_GB2312" w:hAnsi="楷体_GB2312" w:eastAsia="楷体_GB2312" w:cs="楷体_GB2312"/>
          <w:b w:val="0"/>
          <w:bCs w:val="0"/>
          <w:kern w:val="0"/>
          <w:sz w:val="32"/>
          <w:szCs w:val="32"/>
          <w:lang w:val="en-US" w:eastAsia="zh-CN" w:bidi="ar"/>
        </w:rPr>
        <w:t>（一）法治学习深度和实效性有待提升。</w:t>
      </w:r>
      <w:r>
        <w:rPr>
          <w:rFonts w:hint="eastAsia" w:ascii="Times New Roman" w:hAnsi="Times New Roman" w:eastAsia="仿宋_GB2312" w:cs="Times New Roman"/>
          <w:spacing w:val="0"/>
          <w:sz w:val="32"/>
          <w:szCs w:val="32"/>
          <w:lang w:val="en-US" w:eastAsia="zh-CN"/>
        </w:rPr>
        <w:t>部分干部职工法治学习仍停留在表面，主动学法、自觉用法的意识不够强，运用法治思维解决复杂问题、处理业务风险的能力有待进一步提高。</w:t>
      </w:r>
    </w:p>
    <w:p w14:paraId="52BCF9C8">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楷体_GB2312" w:hAnsi="楷体_GB2312" w:eastAsia="楷体_GB2312" w:cs="楷体_GB2312"/>
          <w:b w:val="0"/>
          <w:bCs w:val="0"/>
          <w:kern w:val="0"/>
          <w:sz w:val="32"/>
          <w:szCs w:val="32"/>
          <w:lang w:val="en-US" w:eastAsia="zh-CN" w:bidi="ar"/>
        </w:rPr>
        <w:t>（二）普法宣传精准性和针对性不足。</w:t>
      </w:r>
      <w:r>
        <w:rPr>
          <w:rFonts w:hint="eastAsia"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spacing w:val="0"/>
          <w:sz w:val="32"/>
          <w:szCs w:val="32"/>
          <w:lang w:val="en-US" w:eastAsia="zh-CN"/>
        </w:rPr>
        <w:t>五进”普法活动形式仍较为传统，针对企业经营者、灵活就业人员、新市民、青年人等重点群体的定制化、精准化普法不够，宣传效果有待加强。</w:t>
      </w:r>
    </w:p>
    <w:p w14:paraId="1812A5F8">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楷体_GB2312" w:hAnsi="楷体_GB2312" w:eastAsia="楷体_GB2312" w:cs="楷体_GB2312"/>
          <w:b w:val="0"/>
          <w:bCs w:val="0"/>
          <w:kern w:val="0"/>
          <w:sz w:val="32"/>
          <w:szCs w:val="32"/>
          <w:lang w:val="en-US" w:eastAsia="zh-CN" w:bidi="ar"/>
        </w:rPr>
        <w:t>（三）法治与业务融合不够紧密。</w:t>
      </w:r>
      <w:r>
        <w:rPr>
          <w:rFonts w:hint="eastAsia" w:ascii="Times New Roman" w:hAnsi="Times New Roman" w:eastAsia="仿宋_GB2312" w:cs="Times New Roman"/>
          <w:i w:val="0"/>
          <w:iCs w:val="0"/>
          <w:caps w:val="0"/>
          <w:color w:val="000000" w:themeColor="text1"/>
          <w:spacing w:val="6"/>
          <w:kern w:val="0"/>
          <w:sz w:val="32"/>
          <w:szCs w:val="32"/>
          <w:shd w:val="clear" w:fill="FFFFFF"/>
          <w:lang w:val="en-US" w:eastAsia="zh-CN" w:bidi="ar"/>
          <w14:textFill>
            <w14:solidFill>
              <w14:schemeClr w14:val="tx1"/>
            </w14:solidFill>
          </w14:textFill>
        </w:rPr>
        <w:t>部分科室负责人存在“重业务、轻法治”倾向，未能将法治与业务工作有机结合。</w:t>
      </w:r>
      <w:r>
        <w:rPr>
          <w:rFonts w:hint="eastAsia" w:ascii="Times New Roman" w:hAnsi="Times New Roman" w:eastAsia="仿宋_GB2312" w:cs="Times New Roman"/>
          <w:spacing w:val="0"/>
          <w:sz w:val="32"/>
          <w:szCs w:val="32"/>
          <w:lang w:val="en-US" w:eastAsia="zh-CN"/>
        </w:rPr>
        <w:t>法治建设与公积金归集、贷款、服务、风险防控等业务融合度不够深。</w:t>
      </w:r>
    </w:p>
    <w:p w14:paraId="22B8FEED">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_GB2312" w:cs="Times New Roman"/>
          <w:i w:val="0"/>
          <w:iCs w:val="0"/>
          <w:caps w:val="0"/>
          <w:color w:val="000000" w:themeColor="text1"/>
          <w:spacing w:val="6"/>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b w:val="0"/>
          <w:bCs w:val="0"/>
          <w:kern w:val="0"/>
          <w:sz w:val="32"/>
          <w:szCs w:val="32"/>
          <w:lang w:val="en-US" w:eastAsia="zh-CN" w:bidi="ar"/>
        </w:rPr>
        <w:t>（四）法治队伍专业化能力有待加强。</w:t>
      </w:r>
      <w:r>
        <w:rPr>
          <w:rFonts w:hint="eastAsia" w:ascii="Times New Roman" w:hAnsi="Times New Roman" w:eastAsia="仿宋_GB2312" w:cs="Times New Roman"/>
          <w:spacing w:val="0"/>
          <w:sz w:val="32"/>
          <w:szCs w:val="32"/>
          <w:lang w:val="en-US" w:eastAsia="zh-CN"/>
        </w:rPr>
        <w:t>中心法治工作人员力量薄弱，专业法律知识和实务能力不足，队伍专业化、规范化建设仍需持续发力。</w:t>
      </w:r>
    </w:p>
    <w:p w14:paraId="4920F8CD">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spacing w:val="0"/>
          <w:sz w:val="32"/>
          <w:szCs w:val="32"/>
          <w:highlight w:val="none"/>
          <w:lang w:val="en-US" w:eastAsia="zh-CN"/>
        </w:rPr>
        <w:t>三、下一步工作计划</w:t>
      </w:r>
    </w:p>
    <w:p w14:paraId="28A6F24F">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2026年，淮北市住房公积金管理中心将坚持问题导向、目标导向、结果导向，补短板、强弱项、提质效，持续推动法治政府建设向纵深发展：</w:t>
      </w:r>
    </w:p>
    <w:p w14:paraId="4E7A3270">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楷体_GB2312" w:hAnsi="楷体_GB2312" w:eastAsia="楷体_GB2312" w:cs="楷体_GB2312"/>
          <w:b w:val="0"/>
          <w:bCs w:val="0"/>
          <w:kern w:val="0"/>
          <w:sz w:val="32"/>
          <w:szCs w:val="32"/>
          <w:lang w:val="en-US" w:eastAsia="zh-CN" w:bidi="ar"/>
        </w:rPr>
        <w:t>（一）持续深化法治理论学习。</w:t>
      </w:r>
      <w:r>
        <w:rPr>
          <w:rFonts w:hint="eastAsia" w:ascii="Times New Roman" w:hAnsi="Times New Roman" w:eastAsia="仿宋_GB2312" w:cs="Times New Roman"/>
          <w:spacing w:val="0"/>
          <w:sz w:val="32"/>
          <w:szCs w:val="32"/>
          <w:lang w:val="en-US" w:eastAsia="zh-CN"/>
        </w:rPr>
        <w:t>坚持把习近平法治思想学习引向深入，完善常态化、制度化学法用法机制，丰富学习形式，强化实战培训，不断提升全员法治素养和依法履职能力。</w:t>
      </w:r>
    </w:p>
    <w:p w14:paraId="592A15D2">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楷体_GB2312" w:hAnsi="楷体_GB2312" w:eastAsia="楷体_GB2312" w:cs="楷体_GB2312"/>
          <w:b w:val="0"/>
          <w:bCs w:val="0"/>
          <w:kern w:val="0"/>
          <w:sz w:val="32"/>
          <w:szCs w:val="32"/>
          <w:lang w:val="en-US" w:eastAsia="zh-CN" w:bidi="ar"/>
        </w:rPr>
        <w:t>（二）持续压实法治建设责任。</w:t>
      </w:r>
      <w:r>
        <w:rPr>
          <w:rFonts w:hint="eastAsia" w:ascii="Times New Roman" w:hAnsi="Times New Roman" w:eastAsia="仿宋_GB2312" w:cs="Times New Roman"/>
          <w:spacing w:val="0"/>
          <w:sz w:val="32"/>
          <w:szCs w:val="32"/>
          <w:lang w:val="en-US" w:eastAsia="zh-CN"/>
        </w:rPr>
        <w:t>严格落实法治政府建设各项责任，强化考核督导和跟踪问效，推动法治建设责任层层传导、全面落实。提高依法行政水平，进一步规范行政决策、行政服务全流程管理，强化内控监督和合法性审查，深化政务公开，优化营商环境，确保法治工作与业务工作深度融合、同步推进。</w:t>
      </w:r>
    </w:p>
    <w:p w14:paraId="0D9E98ED">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楷体_GB2312" w:hAnsi="楷体_GB2312" w:eastAsia="楷体_GB2312" w:cs="楷体_GB2312"/>
          <w:b w:val="0"/>
          <w:bCs w:val="0"/>
          <w:kern w:val="0"/>
          <w:sz w:val="32"/>
          <w:szCs w:val="32"/>
          <w:lang w:val="en-US" w:eastAsia="zh-CN" w:bidi="ar"/>
        </w:rPr>
        <w:t>（三）持续提升普法工作质效。</w:t>
      </w:r>
      <w:r>
        <w:rPr>
          <w:rFonts w:hint="eastAsia" w:ascii="Times New Roman" w:hAnsi="Times New Roman" w:eastAsia="仿宋_GB2312" w:cs="Times New Roman"/>
          <w:spacing w:val="0"/>
          <w:sz w:val="32"/>
          <w:szCs w:val="32"/>
          <w:lang w:val="en-US" w:eastAsia="zh-CN"/>
        </w:rPr>
        <w:t>做优做实“五进”普法活动，创新普法形式，丰富普法载体，聚焦重点领域、重点人群开展精准普法、有效普法，不断提升群众法治知晓度和满意度。</w:t>
      </w:r>
    </w:p>
    <w:p w14:paraId="4898593F">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楷体_GB2312" w:hAnsi="楷体_GB2312" w:eastAsia="楷体_GB2312" w:cs="楷体_GB2312"/>
          <w:b w:val="0"/>
          <w:bCs w:val="0"/>
          <w:kern w:val="0"/>
          <w:sz w:val="32"/>
          <w:szCs w:val="32"/>
          <w:lang w:val="en-US" w:eastAsia="zh-CN" w:bidi="ar"/>
        </w:rPr>
        <w:t>（四）持续强化法治队伍建设。</w:t>
      </w:r>
      <w:r>
        <w:rPr>
          <w:rFonts w:hint="eastAsia" w:ascii="Times New Roman" w:hAnsi="Times New Roman" w:eastAsia="仿宋_GB2312" w:cs="Times New Roman"/>
          <w:spacing w:val="0"/>
          <w:sz w:val="32"/>
          <w:szCs w:val="32"/>
          <w:lang w:val="en-US" w:eastAsia="zh-CN"/>
        </w:rPr>
        <w:t>加强法治工作人员专业培训，充实法治工作力量，发挥法律顾问作用，提升法治工作专业化、规范化、标准化水平。</w:t>
      </w:r>
    </w:p>
    <w:p w14:paraId="75E857E4">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楷体_GB2312" w:hAnsi="楷体_GB2312" w:eastAsia="楷体_GB2312" w:cs="楷体_GB2312"/>
          <w:b w:val="0"/>
          <w:bCs w:val="0"/>
          <w:kern w:val="0"/>
          <w:sz w:val="32"/>
          <w:szCs w:val="32"/>
          <w:lang w:val="en-US" w:eastAsia="zh-CN" w:bidi="ar"/>
        </w:rPr>
        <w:t>（五）持续健全法治长效机制。</w:t>
      </w:r>
      <w:r>
        <w:rPr>
          <w:rFonts w:hint="eastAsia" w:ascii="Times New Roman" w:hAnsi="Times New Roman" w:eastAsia="仿宋_GB2312" w:cs="Times New Roman"/>
          <w:spacing w:val="0"/>
          <w:sz w:val="32"/>
          <w:szCs w:val="32"/>
          <w:lang w:val="en-US" w:eastAsia="zh-CN"/>
        </w:rPr>
        <w:t>完善住房公积金法治制度体系，强化数字赋能和风险防控，推动法治政府建设与住房公积金管理现代化深度融合，为全市住房公积金事业高质量发展提供更加坚实的法治保障。</w:t>
      </w:r>
    </w:p>
    <w:p w14:paraId="7AB0E12C">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eastAsia="仿宋_GB2312"/>
          <w:sz w:val="32"/>
          <w:szCs w:val="32"/>
          <w:lang w:val="en-US" w:eastAsia="zh-CN"/>
        </w:rPr>
      </w:pPr>
    </w:p>
    <w:p w14:paraId="46E58E4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eastAsia="仿宋_GB2312"/>
          <w:sz w:val="32"/>
          <w:szCs w:val="32"/>
          <w:lang w:val="en-US" w:eastAsia="zh-CN"/>
        </w:rPr>
      </w:pPr>
    </w:p>
    <w:p w14:paraId="111F96F6">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eastAsia="仿宋_GB2312"/>
          <w:sz w:val="32"/>
          <w:szCs w:val="32"/>
          <w:lang w:val="en-US" w:eastAsia="zh-CN"/>
        </w:rPr>
      </w:pPr>
    </w:p>
    <w:p w14:paraId="5A4AD01C">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eastAsia="仿宋_GB2312"/>
          <w:sz w:val="32"/>
          <w:szCs w:val="32"/>
          <w:lang w:val="en-US" w:eastAsia="zh-CN"/>
        </w:rPr>
      </w:pPr>
    </w:p>
    <w:p w14:paraId="276D8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160" w:firstLineChars="1300"/>
        <w:textAlignment w:val="auto"/>
        <w:rPr>
          <w:rFonts w:hint="eastAsia" w:ascii="Times New Roman" w:hAnsi="Times New Roman"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cs="仿宋_GB2312"/>
          <w:color w:val="000000" w:themeColor="text1"/>
          <w:sz w:val="32"/>
          <w:szCs w:val="32"/>
          <w:highlight w:val="none"/>
          <w:lang w:val="en-US" w:eastAsia="zh-CN"/>
          <w14:textFill>
            <w14:solidFill>
              <w14:schemeClr w14:val="tx1"/>
            </w14:solidFill>
          </w14:textFill>
        </w:rPr>
        <w:t>淮北市住房公积金管理中心</w:t>
      </w:r>
    </w:p>
    <w:p w14:paraId="61068A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0" w:firstLineChars="1500"/>
        <w:jc w:val="left"/>
        <w:textAlignment w:val="auto"/>
        <w:rPr>
          <w:rFonts w:hint="eastAsia" w:ascii="Times New Roman" w:hAnsi="Times New Roman" w:cs="仿宋_GB2312"/>
          <w:color w:val="000000" w:themeColor="text1"/>
          <w:sz w:val="32"/>
          <w:szCs w:val="32"/>
          <w:lang w:val="en-US" w:eastAsia="zh-CN"/>
          <w14:textFill>
            <w14:solidFill>
              <w14:schemeClr w14:val="tx1"/>
            </w14:solidFill>
          </w14:textFill>
        </w:rPr>
      </w:pPr>
      <w:r>
        <w:rPr>
          <w:rFonts w:hint="eastAsia" w:ascii="Times New Roman" w:hAnsi="Times New Roman" w:cs="仿宋_GB2312"/>
          <w:color w:val="000000" w:themeColor="text1"/>
          <w:sz w:val="32"/>
          <w:szCs w:val="32"/>
          <w:highlight w:val="none"/>
          <w:lang w:val="en-US" w:eastAsia="zh-CN"/>
          <w14:textFill>
            <w14:solidFill>
              <w14:schemeClr w14:val="tx1"/>
            </w14:solidFill>
          </w14:textFill>
        </w:rPr>
        <w:t>2026年2月28日</w:t>
      </w:r>
    </w:p>
    <w:p w14:paraId="0E7D93C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pPr>
    </w:p>
    <w:tbl>
      <w:tblPr>
        <w:tblStyle w:val="8"/>
        <w:tblpPr w:leftFromText="181" w:rightFromText="181" w:tblpXSpec="left" w:tblpYSpec="bottom"/>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4"/>
      </w:tblGrid>
      <w:tr w14:paraId="7DF1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44" w:type="dxa"/>
            <w:tcBorders>
              <w:top w:val="single" w:color="auto" w:sz="12" w:space="0"/>
              <w:left w:val="nil"/>
              <w:right w:val="nil"/>
            </w:tcBorders>
            <w:vAlign w:val="top"/>
          </w:tcPr>
          <w:p w14:paraId="498BFD59">
            <w:pPr>
              <w:ind w:left="0" w:leftChars="0" w:firstLine="0" w:firstLineChars="0"/>
              <w:rPr>
                <w:vertAlign w:val="baseline"/>
              </w:rPr>
            </w:pPr>
            <w:r>
              <w:rPr>
                <w:rFonts w:hint="eastAsia" w:ascii="仿宋_GB2312" w:hAnsi="仿宋_GB2312" w:eastAsia="仿宋_GB2312" w:cs="仿宋_GB2312"/>
                <w:sz w:val="32"/>
                <w:szCs w:val="32"/>
              </w:rPr>
              <w:t>抄</w:t>
            </w:r>
            <w:r>
              <w:rPr>
                <w:rFonts w:hint="eastAsia" w:ascii="仿宋_GB2312" w:hAnsi="仿宋_GB2312" w:cs="仿宋_GB2312"/>
                <w:sz w:val="32"/>
                <w:szCs w:val="32"/>
                <w:lang w:val="en-US" w:eastAsia="zh-CN"/>
              </w:rPr>
              <w:t>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市委依法治</w:t>
            </w:r>
            <w:r>
              <w:rPr>
                <w:rFonts w:hint="eastAsia" w:ascii="仿宋_GB2312" w:hAnsi="仿宋_GB2312" w:cs="仿宋_GB2312"/>
                <w:sz w:val="32"/>
                <w:szCs w:val="32"/>
                <w:lang w:val="en-US" w:eastAsia="zh-CN"/>
              </w:rPr>
              <w:t>市</w:t>
            </w:r>
            <w:r>
              <w:rPr>
                <w:rFonts w:hint="eastAsia" w:ascii="仿宋_GB2312" w:hAnsi="仿宋_GB2312" w:eastAsia="仿宋_GB2312" w:cs="仿宋_GB2312"/>
                <w:sz w:val="32"/>
                <w:szCs w:val="32"/>
                <w:lang w:val="en-US" w:eastAsia="zh-CN"/>
              </w:rPr>
              <w:t>办</w:t>
            </w:r>
          </w:p>
        </w:tc>
      </w:tr>
      <w:tr w14:paraId="2677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4" w:type="dxa"/>
            <w:tcBorders>
              <w:left w:val="nil"/>
              <w:bottom w:val="single" w:color="auto" w:sz="12" w:space="0"/>
              <w:right w:val="nil"/>
            </w:tcBorders>
            <w:vAlign w:val="top"/>
          </w:tcPr>
          <w:p w14:paraId="05B005E8">
            <w:pPr>
              <w:ind w:left="0" w:leftChars="0" w:firstLine="0" w:firstLineChars="0"/>
              <w:rPr>
                <w:rFonts w:hint="default" w:eastAsia="仿宋_GB2312"/>
                <w:vertAlign w:val="baseline"/>
                <w:lang w:val="en-US" w:eastAsia="zh-CN"/>
              </w:rPr>
            </w:pPr>
            <w:r>
              <w:rPr>
                <w:rFonts w:hint="eastAsia"/>
                <w:vertAlign w:val="baseline"/>
                <w:lang w:val="en-US" w:eastAsia="zh-CN"/>
              </w:rPr>
              <w:t xml:space="preserve">淮北市住房公积金管理中心             </w:t>
            </w:r>
            <w:r>
              <w:rPr>
                <w:rFonts w:hint="eastAsia" w:ascii="仿宋_GB2312" w:hAnsi="仿宋_GB2312" w:eastAsia="仿宋_GB2312" w:cs="仿宋_GB2312"/>
                <w:vertAlign w:val="baseline"/>
                <w:lang w:val="en-US" w:eastAsia="zh-CN"/>
              </w:rPr>
              <w:t>202</w:t>
            </w:r>
            <w:r>
              <w:rPr>
                <w:rFonts w:hint="eastAsia" w:ascii="仿宋_GB2312" w:hAnsi="仿宋_GB2312" w:cs="仿宋_GB2312"/>
                <w:vertAlign w:val="baseline"/>
                <w:lang w:val="en-US" w:eastAsia="zh-CN"/>
              </w:rPr>
              <w:t>6</w:t>
            </w:r>
            <w:r>
              <w:rPr>
                <w:rFonts w:hint="eastAsia" w:ascii="仿宋_GB2312" w:hAnsi="仿宋_GB2312" w:eastAsia="仿宋_GB2312" w:cs="仿宋_GB2312"/>
                <w:vertAlign w:val="baseline"/>
                <w:lang w:val="en-US" w:eastAsia="zh-CN"/>
              </w:rPr>
              <w:t>年</w:t>
            </w:r>
            <w:r>
              <w:rPr>
                <w:rFonts w:hint="eastAsia" w:ascii="仿宋_GB2312" w:hAnsi="仿宋_GB2312" w:cs="仿宋_GB2312"/>
                <w:vertAlign w:val="baseline"/>
                <w:lang w:val="en-US" w:eastAsia="zh-CN"/>
              </w:rPr>
              <w:t>2</w:t>
            </w:r>
            <w:r>
              <w:rPr>
                <w:rFonts w:hint="eastAsia" w:ascii="仿宋_GB2312" w:hAnsi="仿宋_GB2312" w:eastAsia="仿宋_GB2312" w:cs="仿宋_GB2312"/>
                <w:vertAlign w:val="baseline"/>
                <w:lang w:val="en-US" w:eastAsia="zh-CN"/>
              </w:rPr>
              <w:t>月</w:t>
            </w:r>
            <w:r>
              <w:rPr>
                <w:rFonts w:hint="eastAsia" w:ascii="仿宋_GB2312" w:hAnsi="仿宋_GB2312" w:cs="仿宋_GB2312"/>
                <w:vertAlign w:val="baseline"/>
                <w:lang w:val="en-US" w:eastAsia="zh-CN"/>
              </w:rPr>
              <w:t>28</w:t>
            </w:r>
            <w:r>
              <w:rPr>
                <w:rFonts w:hint="eastAsia" w:ascii="仿宋_GB2312" w:hAnsi="仿宋_GB2312" w:eastAsia="仿宋_GB2312" w:cs="仿宋_GB2312"/>
                <w:vertAlign w:val="baseline"/>
                <w:lang w:val="en-US" w:eastAsia="zh-CN"/>
              </w:rPr>
              <w:t>日印</w:t>
            </w:r>
          </w:p>
        </w:tc>
      </w:tr>
    </w:tbl>
    <w:p w14:paraId="44FC1DF9">
      <w:pPr>
        <w:ind w:left="0" w:leftChars="0" w:firstLine="0" w:firstLineChars="0"/>
      </w:pPr>
    </w:p>
    <w:sectPr>
      <w:footerReference r:id="rId5" w:type="default"/>
      <w:pgSz w:w="11906" w:h="16838"/>
      <w:pgMar w:top="2098" w:right="1474" w:bottom="1984" w:left="1587" w:header="851" w:footer="1417"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B5E05">
    <w:pPr>
      <w:pStyle w:val="4"/>
      <w:spacing w:line="240" w:lineRule="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940FC">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E940FC">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060980"/>
    <w:rsid w:val="7A060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eastAsia="仿宋_GB2312" w:asciiTheme="minorAscii" w:hAnsiTheme="minorAscii" w:cstheme="minorBidi"/>
      <w:kern w:val="2"/>
      <w:sz w:val="32"/>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left="420" w:leftChars="200"/>
    </w:pPr>
  </w:style>
  <w:style w:type="paragraph" w:styleId="3">
    <w:name w:val="Body Text Indent 2"/>
    <w:basedOn w:val="1"/>
    <w:qFormat/>
    <w:uiPriority w:val="0"/>
    <w:pPr>
      <w:spacing w:after="120" w:line="480" w:lineRule="auto"/>
      <w:ind w:left="420" w:leftChars="200"/>
    </w:p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2"/>
    <w:qFormat/>
    <w:uiPriority w:val="0"/>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2026-02-28T07:19:00Z</dcterms:created>
  <dc:creator>丁利媛</dc:creator>
  <cp:lastModifiedBy>丁利媛</cp:lastModifiedBy>
  <dcterms:modified xsi:type="dcterms:W3CDTF">2026-02-28T07:23:56Z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BC3A5EF0D2834D6B8C1E1CE86059C24C_11</vt:lpwstr>
  </property>
  <property fmtid="{D5CDD505-2E9C-101B-9397-08002B2CF9AE}" pid="4" name="KSOTemplateDocerSaveRecord">
    <vt:lpwstr>eyJoZGlkIjoiNzhmMDQzMWUyOGE5M2QxZmMyNmM4YzAyOTU0ODM2YTAifQ==</vt:lpwstr>
  </property>
</Properties>
</file>